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18" w:rsidRPr="00BD1818" w:rsidRDefault="00BD1818" w:rsidP="00BD1818">
      <w:pPr>
        <w:shd w:val="clear" w:color="auto" w:fill="FFFFFF"/>
        <w:spacing w:after="150"/>
        <w:rPr>
          <w:rFonts w:ascii="Helvetica Neue" w:hAnsi="Helvetica Neue" w:cs="Times New Roman"/>
          <w:color w:val="333333"/>
          <w:sz w:val="21"/>
          <w:szCs w:val="21"/>
        </w:rPr>
      </w:pPr>
      <w:r w:rsidRPr="00BD1818">
        <w:rPr>
          <w:rFonts w:ascii="Helvetica Neue" w:hAnsi="Helvetica Neue" w:cs="Times New Roman"/>
          <w:color w:val="333333"/>
          <w:sz w:val="21"/>
          <w:szCs w:val="21"/>
        </w:rPr>
        <w:t xml:space="preserve">La produzione scientifica del Dott. Rania, in ossequio </w:t>
      </w:r>
      <w:proofErr w:type="gramStart"/>
      <w:r w:rsidRPr="00BD1818">
        <w:rPr>
          <w:rFonts w:ascii="Helvetica Neue" w:hAnsi="Helvetica Neue" w:cs="Times New Roman"/>
          <w:color w:val="333333"/>
          <w:sz w:val="21"/>
          <w:szCs w:val="21"/>
        </w:rPr>
        <w:t xml:space="preserve">alla </w:t>
      </w:r>
      <w:proofErr w:type="gramEnd"/>
      <w:r w:rsidRPr="00BD1818">
        <w:rPr>
          <w:rFonts w:ascii="Helvetica Neue" w:hAnsi="Helvetica Neue" w:cs="Times New Roman"/>
          <w:color w:val="333333"/>
          <w:sz w:val="21"/>
          <w:szCs w:val="21"/>
        </w:rPr>
        <w:t>interdisciplinarietà, involge a tutt’oggi le seguenti aree di interesse: </w:t>
      </w:r>
      <w:r w:rsidRPr="00BD1818">
        <w:rPr>
          <w:rFonts w:ascii="Helvetica Neue" w:hAnsi="Helvetica Neue" w:cs="Times New Roman"/>
          <w:i/>
          <w:iCs/>
          <w:color w:val="333333"/>
          <w:sz w:val="21"/>
          <w:szCs w:val="21"/>
          <w:u w:val="single"/>
        </w:rPr>
        <w:t>Metodi Algebrici</w:t>
      </w:r>
      <w:r w:rsidRPr="00BD1818">
        <w:rPr>
          <w:rFonts w:ascii="Helvetica Neue" w:hAnsi="Helvetica Neue" w:cs="Times New Roman"/>
          <w:color w:val="333333"/>
          <w:sz w:val="21"/>
          <w:szCs w:val="21"/>
        </w:rPr>
        <w:t> I risultati di Lo e Hui agli inizi del 2000 (</w:t>
      </w:r>
      <w:r w:rsidRPr="00BD1818">
        <w:rPr>
          <w:rFonts w:ascii="Helvetica Neue" w:hAnsi="Helvetica Neue" w:cs="Times New Roman"/>
          <w:i/>
          <w:iCs/>
          <w:color w:val="333333"/>
          <w:sz w:val="21"/>
          <w:szCs w:val="21"/>
        </w:rPr>
        <w:t>Valutation of financial derivatives with time-dependent parameters: Lie-algebraic approach</w:t>
      </w:r>
      <w:r w:rsidRPr="00BD1818">
        <w:rPr>
          <w:rFonts w:ascii="Helvetica Neue" w:hAnsi="Helvetica Neue" w:cs="Times New Roman"/>
          <w:color w:val="333333"/>
          <w:sz w:val="21"/>
          <w:szCs w:val="21"/>
        </w:rPr>
        <w:t>, Quantitative Finance, 1 (2001), 73 – 78) dimostrarono che il metodo algebrico, associato all’Algebra di Lie e basato sul Teorema di Wey-Norman, poteva essere applicato allo studio del </w:t>
      </w:r>
      <w:r w:rsidRPr="00BD1818">
        <w:rPr>
          <w:rFonts w:ascii="Helvetica Neue" w:hAnsi="Helvetica Neue" w:cs="Times New Roman"/>
          <w:i/>
          <w:iCs/>
          <w:color w:val="333333"/>
          <w:sz w:val="21"/>
          <w:szCs w:val="21"/>
        </w:rPr>
        <w:t>pricing of financial derivatives</w:t>
      </w:r>
      <w:r w:rsidRPr="00BD1818">
        <w:rPr>
          <w:rFonts w:ascii="Helvetica Neue" w:hAnsi="Helvetica Neue" w:cs="Times New Roman"/>
          <w:color w:val="333333"/>
          <w:sz w:val="21"/>
          <w:szCs w:val="21"/>
        </w:rPr>
        <w:t> con parametri indipendenti dal tempo. Indipendentemente Björk e Landèn (in </w:t>
      </w:r>
      <w:r w:rsidRPr="00BD1818">
        <w:rPr>
          <w:rFonts w:ascii="Helvetica Neue" w:hAnsi="Helvetica Neue" w:cs="Times New Roman"/>
          <w:i/>
          <w:iCs/>
          <w:color w:val="333333"/>
          <w:sz w:val="21"/>
          <w:szCs w:val="21"/>
        </w:rPr>
        <w:t xml:space="preserve">On the construction of </w:t>
      </w:r>
      <w:proofErr w:type="gramStart"/>
      <w:r w:rsidRPr="00BD1818">
        <w:rPr>
          <w:rFonts w:ascii="Helvetica Neue" w:hAnsi="Helvetica Neue" w:cs="Times New Roman"/>
          <w:i/>
          <w:iCs/>
          <w:color w:val="333333"/>
          <w:sz w:val="21"/>
          <w:szCs w:val="21"/>
        </w:rPr>
        <w:t>finite</w:t>
      </w:r>
      <w:proofErr w:type="gramEnd"/>
      <w:r w:rsidRPr="00BD1818">
        <w:rPr>
          <w:rFonts w:ascii="Helvetica Neue" w:hAnsi="Helvetica Neue" w:cs="Times New Roman"/>
          <w:i/>
          <w:iCs/>
          <w:color w:val="333333"/>
          <w:sz w:val="21"/>
          <w:szCs w:val="21"/>
        </w:rPr>
        <w:t xml:space="preserve"> dimensional realizations for non linear forward rate models</w:t>
      </w:r>
      <w:r w:rsidRPr="00BD1818">
        <w:rPr>
          <w:rFonts w:ascii="Helvetica Neue" w:hAnsi="Helvetica Neue" w:cs="Times New Roman"/>
          <w:color w:val="333333"/>
          <w:sz w:val="21"/>
          <w:szCs w:val="21"/>
        </w:rPr>
        <w:t>, Fin. Stoch</w:t>
      </w:r>
      <w:proofErr w:type="gramStart"/>
      <w:r w:rsidRPr="00BD1818">
        <w:rPr>
          <w:rFonts w:ascii="Helvetica Neue" w:hAnsi="Helvetica Neue" w:cs="Times New Roman"/>
          <w:color w:val="333333"/>
          <w:sz w:val="21"/>
          <w:szCs w:val="21"/>
        </w:rPr>
        <w:t>.,</w:t>
      </w:r>
      <w:proofErr w:type="gramEnd"/>
      <w:r w:rsidRPr="00BD1818">
        <w:rPr>
          <w:rFonts w:ascii="Helvetica Neue" w:hAnsi="Helvetica Neue" w:cs="Times New Roman"/>
          <w:color w:val="333333"/>
          <w:sz w:val="21"/>
          <w:szCs w:val="21"/>
        </w:rPr>
        <w:t xml:space="preserve"> (2002), 6, 303 – 331), in forza del risultato di Björk secondo cui una </w:t>
      </w:r>
      <w:r w:rsidRPr="00BD1818">
        <w:rPr>
          <w:rFonts w:ascii="Helvetica Neue" w:hAnsi="Helvetica Neue" w:cs="Times New Roman"/>
          <w:i/>
          <w:iCs/>
          <w:color w:val="333333"/>
          <w:sz w:val="21"/>
          <w:szCs w:val="21"/>
        </w:rPr>
        <w:t>finite dimensional realization</w:t>
      </w:r>
      <w:r w:rsidRPr="00BD1818">
        <w:rPr>
          <w:rFonts w:ascii="Helvetica Neue" w:hAnsi="Helvetica Neue" w:cs="Times New Roman"/>
          <w:color w:val="333333"/>
          <w:sz w:val="21"/>
          <w:szCs w:val="21"/>
        </w:rPr>
        <w:t> (FDR) esiste se e solo se una certa Algebra di Lie è di dimensione finita e dato un insieme di generatori per tale algebra di Lie si costruisce la FDR risolvendo un numero finito di equazioni differenziali ordinari in Spazi di Hilbert, realizzarono un metodo sistematico per costruire qualche modello di dimensione finita per </w:t>
      </w:r>
      <w:r w:rsidRPr="00BD1818">
        <w:rPr>
          <w:rFonts w:ascii="Helvetica Neue" w:hAnsi="Helvetica Neue" w:cs="Times New Roman"/>
          <w:i/>
          <w:iCs/>
          <w:color w:val="333333"/>
          <w:sz w:val="21"/>
          <w:szCs w:val="21"/>
        </w:rPr>
        <w:t>non linear forward interest-rate</w:t>
      </w:r>
      <w:r w:rsidRPr="00BD1818">
        <w:rPr>
          <w:rFonts w:ascii="Helvetica Neue" w:hAnsi="Helvetica Neue" w:cs="Times New Roman"/>
          <w:color w:val="333333"/>
          <w:sz w:val="21"/>
          <w:szCs w:val="21"/>
        </w:rPr>
        <w:t>dove le </w:t>
      </w:r>
      <w:r w:rsidRPr="00BD1818">
        <w:rPr>
          <w:rFonts w:ascii="Helvetica Neue" w:hAnsi="Helvetica Neue" w:cs="Times New Roman"/>
          <w:i/>
          <w:iCs/>
          <w:color w:val="333333"/>
          <w:sz w:val="21"/>
          <w:szCs w:val="21"/>
        </w:rPr>
        <w:t>forward rate</w:t>
      </w:r>
      <w:r w:rsidRPr="00BD1818">
        <w:rPr>
          <w:rFonts w:ascii="Helvetica Neue" w:hAnsi="Helvetica Neue" w:cs="Times New Roman"/>
          <w:color w:val="333333"/>
          <w:sz w:val="21"/>
          <w:szCs w:val="21"/>
        </w:rPr>
        <w:t> sono veicolate da un processo stocastico di Wierner multidimensionale. Premesso che un aspetto fondamentale per la costruzione di un’algebra </w:t>
      </w:r>
      <w:r w:rsidRPr="00BD1818">
        <w:rPr>
          <w:rFonts w:ascii="Helvetica Neue" w:hAnsi="Helvetica Neue" w:cs="Times New Roman"/>
          <w:i/>
          <w:iCs/>
          <w:color w:val="333333"/>
          <w:sz w:val="21"/>
          <w:szCs w:val="21"/>
        </w:rPr>
        <w:t>F </w:t>
      </w:r>
      <w:r w:rsidRPr="00BD1818">
        <w:rPr>
          <w:rFonts w:ascii="Helvetica Neue" w:hAnsi="Helvetica Neue" w:cs="Times New Roman"/>
          <w:color w:val="333333"/>
          <w:sz w:val="21"/>
          <w:szCs w:val="21"/>
        </w:rPr>
        <w:t>di Lie (risp. un gruppo di Lie) è l’introduzione dell’operatore </w:t>
      </w:r>
      <w:r w:rsidRPr="00BD1818">
        <w:rPr>
          <w:rFonts w:ascii="Helvetica Neue" w:hAnsi="Helvetica Neue" w:cs="Times New Roman"/>
          <w:i/>
          <w:iCs/>
          <w:color w:val="333333"/>
          <w:sz w:val="21"/>
          <w:szCs w:val="21"/>
        </w:rPr>
        <w:t>Lie bractet</w:t>
      </w:r>
      <w:r w:rsidRPr="00BD1818">
        <w:rPr>
          <w:rFonts w:ascii="Helvetica Neue" w:hAnsi="Helvetica Neue" w:cs="Times New Roman"/>
          <w:color w:val="333333"/>
          <w:sz w:val="21"/>
          <w:szCs w:val="21"/>
        </w:rPr>
        <w:t> [</w:t>
      </w:r>
      <w:proofErr w:type="gramStart"/>
      <w:r w:rsidRPr="00BD1818">
        <w:rPr>
          <w:rFonts w:ascii="Helvetica Neue" w:hAnsi="Helvetica Neue" w:cs="Times New Roman"/>
          <w:color w:val="333333"/>
          <w:sz w:val="21"/>
          <w:szCs w:val="21"/>
        </w:rPr>
        <w:t>.,</w:t>
      </w:r>
      <w:proofErr w:type="gramEnd"/>
      <w:r w:rsidRPr="00BD1818">
        <w:rPr>
          <w:rFonts w:ascii="Helvetica Neue" w:hAnsi="Helvetica Neue" w:cs="Times New Roman"/>
          <w:color w:val="333333"/>
          <w:sz w:val="21"/>
          <w:szCs w:val="21"/>
        </w:rPr>
        <w:t>.] definito dalla legge che se </w:t>
      </w:r>
      <w:r w:rsidRPr="00BD1818">
        <w:rPr>
          <w:rFonts w:ascii="Helvetica Neue" w:hAnsi="Helvetica Neue" w:cs="Times New Roman"/>
          <w:i/>
          <w:iCs/>
          <w:color w:val="333333"/>
          <w:sz w:val="21"/>
          <w:szCs w:val="21"/>
        </w:rPr>
        <w:t>x</w:t>
      </w:r>
      <w:r w:rsidRPr="00BD1818">
        <w:rPr>
          <w:rFonts w:ascii="Helvetica Neue" w:hAnsi="Helvetica Neue" w:cs="Times New Roman"/>
          <w:color w:val="333333"/>
          <w:sz w:val="21"/>
          <w:szCs w:val="21"/>
        </w:rPr>
        <w:t> e </w:t>
      </w:r>
      <w:r w:rsidRPr="00BD1818">
        <w:rPr>
          <w:rFonts w:ascii="Helvetica Neue" w:hAnsi="Helvetica Neue" w:cs="Times New Roman"/>
          <w:i/>
          <w:iCs/>
          <w:color w:val="333333"/>
          <w:sz w:val="21"/>
          <w:szCs w:val="21"/>
        </w:rPr>
        <w:t>y</w:t>
      </w:r>
      <w:r w:rsidRPr="00BD1818">
        <w:rPr>
          <w:rFonts w:ascii="Helvetica Neue" w:hAnsi="Helvetica Neue" w:cs="Times New Roman"/>
          <w:color w:val="333333"/>
          <w:sz w:val="21"/>
          <w:szCs w:val="21"/>
        </w:rPr>
        <w:t> sono elementi di F allora [</w:t>
      </w:r>
      <w:r w:rsidRPr="00BD1818">
        <w:rPr>
          <w:rFonts w:ascii="Helvetica Neue" w:hAnsi="Helvetica Neue" w:cs="Times New Roman"/>
          <w:i/>
          <w:iCs/>
          <w:color w:val="333333"/>
          <w:sz w:val="21"/>
          <w:szCs w:val="21"/>
        </w:rPr>
        <w:t>x</w:t>
      </w:r>
      <w:r w:rsidRPr="00BD1818">
        <w:rPr>
          <w:rFonts w:ascii="Helvetica Neue" w:hAnsi="Helvetica Neue" w:cs="Times New Roman"/>
          <w:color w:val="333333"/>
          <w:sz w:val="21"/>
          <w:szCs w:val="21"/>
        </w:rPr>
        <w:t>,</w:t>
      </w:r>
      <w:r w:rsidRPr="00BD1818">
        <w:rPr>
          <w:rFonts w:ascii="Helvetica Neue" w:hAnsi="Helvetica Neue" w:cs="Times New Roman"/>
          <w:i/>
          <w:iCs/>
          <w:color w:val="333333"/>
          <w:sz w:val="21"/>
          <w:szCs w:val="21"/>
        </w:rPr>
        <w:t>y</w:t>
      </w:r>
      <w:r w:rsidRPr="00BD1818">
        <w:rPr>
          <w:rFonts w:ascii="Helvetica Neue" w:hAnsi="Helvetica Neue" w:cs="Times New Roman"/>
          <w:color w:val="333333"/>
          <w:sz w:val="21"/>
          <w:szCs w:val="21"/>
        </w:rPr>
        <w:t>]=</w:t>
      </w:r>
      <w:r w:rsidRPr="00BD1818">
        <w:rPr>
          <w:rFonts w:ascii="Helvetica Neue" w:hAnsi="Helvetica Neue" w:cs="Times New Roman"/>
          <w:i/>
          <w:iCs/>
          <w:color w:val="333333"/>
          <w:sz w:val="21"/>
          <w:szCs w:val="21"/>
        </w:rPr>
        <w:t>xy-yx</w:t>
      </w:r>
      <w:r w:rsidRPr="00BD1818">
        <w:rPr>
          <w:rFonts w:ascii="Helvetica Neue" w:hAnsi="Helvetica Neue" w:cs="Times New Roman"/>
          <w:color w:val="333333"/>
          <w:sz w:val="21"/>
          <w:szCs w:val="21"/>
        </w:rPr>
        <w:t>, appare chiaro che lo studio delle proprietà algebriche dei commutatori [</w:t>
      </w:r>
      <w:r w:rsidRPr="00BD1818">
        <w:rPr>
          <w:rFonts w:ascii="Helvetica Neue" w:hAnsi="Helvetica Neue" w:cs="Times New Roman"/>
          <w:i/>
          <w:iCs/>
          <w:color w:val="333333"/>
          <w:sz w:val="21"/>
          <w:szCs w:val="21"/>
        </w:rPr>
        <w:t>x</w:t>
      </w:r>
      <w:r w:rsidRPr="00BD1818">
        <w:rPr>
          <w:rFonts w:ascii="Helvetica Neue" w:hAnsi="Helvetica Neue" w:cs="Times New Roman"/>
          <w:color w:val="333333"/>
          <w:sz w:val="21"/>
          <w:szCs w:val="21"/>
        </w:rPr>
        <w:t>,</w:t>
      </w:r>
      <w:r w:rsidRPr="00BD1818">
        <w:rPr>
          <w:rFonts w:ascii="Helvetica Neue" w:hAnsi="Helvetica Neue" w:cs="Times New Roman"/>
          <w:i/>
          <w:iCs/>
          <w:color w:val="333333"/>
          <w:sz w:val="21"/>
          <w:szCs w:val="21"/>
        </w:rPr>
        <w:t>y</w:t>
      </w:r>
      <w:r w:rsidRPr="00BD1818">
        <w:rPr>
          <w:rFonts w:ascii="Helvetica Neue" w:hAnsi="Helvetica Neue" w:cs="Times New Roman"/>
          <w:color w:val="333333"/>
          <w:sz w:val="21"/>
          <w:szCs w:val="21"/>
        </w:rPr>
        <w:t>] al variare di </w:t>
      </w:r>
      <w:r w:rsidRPr="00BD1818">
        <w:rPr>
          <w:rFonts w:ascii="Helvetica Neue" w:hAnsi="Helvetica Neue" w:cs="Times New Roman"/>
          <w:i/>
          <w:iCs/>
          <w:color w:val="333333"/>
          <w:sz w:val="21"/>
          <w:szCs w:val="21"/>
        </w:rPr>
        <w:t>x</w:t>
      </w:r>
      <w:r w:rsidRPr="00BD1818">
        <w:rPr>
          <w:rFonts w:ascii="Helvetica Neue" w:hAnsi="Helvetica Neue" w:cs="Times New Roman"/>
          <w:color w:val="333333"/>
          <w:sz w:val="21"/>
          <w:szCs w:val="21"/>
        </w:rPr>
        <w:t> e </w:t>
      </w:r>
      <w:r w:rsidRPr="00BD1818">
        <w:rPr>
          <w:rFonts w:ascii="Helvetica Neue" w:hAnsi="Helvetica Neue" w:cs="Times New Roman"/>
          <w:i/>
          <w:iCs/>
          <w:color w:val="333333"/>
          <w:sz w:val="21"/>
          <w:szCs w:val="21"/>
        </w:rPr>
        <w:t>y</w:t>
      </w:r>
      <w:r w:rsidRPr="00BD1818">
        <w:rPr>
          <w:rFonts w:ascii="Helvetica Neue" w:hAnsi="Helvetica Neue" w:cs="Times New Roman"/>
          <w:color w:val="333333"/>
          <w:sz w:val="21"/>
          <w:szCs w:val="21"/>
        </w:rPr>
        <w:t xml:space="preserve"> in un’algebra fornisce informazioni sulla struttura dell’algebra stessa. Per tali motivazioni, </w:t>
      </w:r>
      <w:proofErr w:type="gramStart"/>
      <w:r w:rsidRPr="00BD1818">
        <w:rPr>
          <w:rFonts w:ascii="Helvetica Neue" w:hAnsi="Helvetica Neue" w:cs="Times New Roman"/>
          <w:color w:val="333333"/>
          <w:sz w:val="21"/>
          <w:szCs w:val="21"/>
        </w:rPr>
        <w:t>ed</w:t>
      </w:r>
      <w:proofErr w:type="gramEnd"/>
      <w:r w:rsidRPr="00BD1818">
        <w:rPr>
          <w:rFonts w:ascii="Helvetica Neue" w:hAnsi="Helvetica Neue" w:cs="Times New Roman"/>
          <w:color w:val="333333"/>
          <w:sz w:val="21"/>
          <w:szCs w:val="21"/>
        </w:rPr>
        <w:t xml:space="preserve"> in accordo con i risultati sulle algebre prime in cui sono stati introdotti operatori di Lie e/o particolari condizioni di derivazione (condizione di tipo Engel) si sono raggiunti i risultati proposti negli articoli [2], [3], [4], [5], [7], [8] che mostrano come tutte le condizioni imposte sugli elementi dei vari sottoinsiemi dell’Algebra prima </w:t>
      </w:r>
      <w:r w:rsidRPr="00BD1818">
        <w:rPr>
          <w:rFonts w:ascii="Helvetica Neue" w:hAnsi="Helvetica Neue" w:cs="Times New Roman"/>
          <w:i/>
          <w:iCs/>
          <w:color w:val="333333"/>
          <w:sz w:val="21"/>
          <w:szCs w:val="21"/>
        </w:rPr>
        <w:t>R</w:t>
      </w:r>
      <w:r w:rsidRPr="00BD1818">
        <w:rPr>
          <w:rFonts w:ascii="Helvetica Neue" w:hAnsi="Helvetica Neue" w:cs="Times New Roman"/>
          <w:color w:val="333333"/>
          <w:sz w:val="21"/>
          <w:szCs w:val="21"/>
        </w:rPr>
        <w:t xml:space="preserve"> portano in ogni caso alla conclusione che l’Algebra stessa sia di dimensione finita sul proprio centro ed in particolare in alcuni casi sia esattamente un’Algebra di matrici ad elementi in un campo. Questo si ricollega al problema inizialmente posto </w:t>
      </w:r>
      <w:proofErr w:type="gramStart"/>
      <w:r w:rsidRPr="00BD1818">
        <w:rPr>
          <w:rFonts w:ascii="Helvetica Neue" w:hAnsi="Helvetica Neue" w:cs="Times New Roman"/>
          <w:color w:val="333333"/>
          <w:sz w:val="21"/>
          <w:szCs w:val="21"/>
        </w:rPr>
        <w:t>relativo ai</w:t>
      </w:r>
      <w:proofErr w:type="gramEnd"/>
      <w:r w:rsidRPr="00BD1818">
        <w:rPr>
          <w:rFonts w:ascii="Helvetica Neue" w:hAnsi="Helvetica Neue" w:cs="Times New Roman"/>
          <w:color w:val="333333"/>
          <w:sz w:val="21"/>
          <w:szCs w:val="21"/>
        </w:rPr>
        <w:t xml:space="preserve"> gruppi ed alle algebre di Lie nihilpotenti oppure soddisfacenti a condizioni di tipo Engel. Pertanto si aprono nuove prospettive in ambito finanziario con particolare riguardo ai problemi di pricing di derivati, di cui il Dott. Rania si sta </w:t>
      </w:r>
      <w:proofErr w:type="gramStart"/>
      <w:r w:rsidRPr="00BD1818">
        <w:rPr>
          <w:rFonts w:ascii="Helvetica Neue" w:hAnsi="Helvetica Neue" w:cs="Times New Roman"/>
          <w:color w:val="333333"/>
          <w:sz w:val="21"/>
          <w:szCs w:val="21"/>
        </w:rPr>
        <w:t>attualmente</w:t>
      </w:r>
      <w:proofErr w:type="gramEnd"/>
      <w:r w:rsidRPr="00BD1818">
        <w:rPr>
          <w:rFonts w:ascii="Helvetica Neue" w:hAnsi="Helvetica Neue" w:cs="Times New Roman"/>
          <w:color w:val="333333"/>
          <w:sz w:val="21"/>
          <w:szCs w:val="21"/>
        </w:rPr>
        <w:t xml:space="preserve"> occupando. </w:t>
      </w:r>
      <w:r w:rsidRPr="00BD1818">
        <w:rPr>
          <w:rFonts w:ascii="Helvetica Neue" w:hAnsi="Helvetica Neue" w:cs="Times New Roman"/>
          <w:i/>
          <w:iCs/>
          <w:color w:val="333333"/>
          <w:sz w:val="21"/>
          <w:szCs w:val="21"/>
          <w:u w:val="single"/>
        </w:rPr>
        <w:t>Metodi Variazionali</w:t>
      </w:r>
      <w:r w:rsidRPr="00BD1818">
        <w:rPr>
          <w:rFonts w:ascii="Helvetica Neue" w:hAnsi="Helvetica Neue" w:cs="Times New Roman"/>
          <w:color w:val="333333"/>
          <w:sz w:val="21"/>
          <w:szCs w:val="21"/>
        </w:rPr>
        <w:t xml:space="preserve"> Le disequazioni variazionali, </w:t>
      </w:r>
      <w:proofErr w:type="gramStart"/>
      <w:r w:rsidRPr="00BD1818">
        <w:rPr>
          <w:rFonts w:ascii="Helvetica Neue" w:hAnsi="Helvetica Neue" w:cs="Times New Roman"/>
          <w:color w:val="333333"/>
          <w:sz w:val="21"/>
          <w:szCs w:val="21"/>
        </w:rPr>
        <w:t>formulate</w:t>
      </w:r>
      <w:proofErr w:type="gramEnd"/>
      <w:r w:rsidRPr="00BD1818">
        <w:rPr>
          <w:rFonts w:ascii="Helvetica Neue" w:hAnsi="Helvetica Neue" w:cs="Times New Roman"/>
          <w:color w:val="333333"/>
          <w:sz w:val="21"/>
          <w:szCs w:val="21"/>
        </w:rPr>
        <w:t xml:space="preserve"> da G. Stampacchia alla fine degli anni ’60 per risolvere alcuni problemi di equilibrio nel campo della Fisica Matematica, divennero in breve tempo un efficiente strumento di investigazione per determinare prima, la soluzione di problemi di ottimizzazione in Meccanica, Fisica, Ricerca Operativa, Scienze Ingegneristiche, Reti di traffico e poi, a partire dalla fine degli anni ’90, l’equilibrio economico in una data economia. L’approccio variazionale applicato all’Economia si </w:t>
      </w:r>
      <w:proofErr w:type="gramStart"/>
      <w:r w:rsidRPr="00BD1818">
        <w:rPr>
          <w:rFonts w:ascii="Helvetica Neue" w:hAnsi="Helvetica Neue" w:cs="Times New Roman"/>
          <w:color w:val="333333"/>
          <w:sz w:val="21"/>
          <w:szCs w:val="21"/>
        </w:rPr>
        <w:t>esplicita</w:t>
      </w:r>
      <w:proofErr w:type="gramEnd"/>
      <w:r w:rsidRPr="00BD1818">
        <w:rPr>
          <w:rFonts w:ascii="Helvetica Neue" w:hAnsi="Helvetica Neue" w:cs="Times New Roman"/>
          <w:color w:val="333333"/>
          <w:sz w:val="21"/>
          <w:szCs w:val="21"/>
        </w:rPr>
        <w:t xml:space="preserve"> attraverso tre passi: 1) individuare la disequazione quasi-variazionale atta a descrivere le variazioni delle azioni degli agenti dell’economia; 2) provare che la disequazione ammetta una o più soluzioni; 3) dimostrare che ogni soluzione della disequazione quasi-variazionale è un equilibrio per il dato problema economico. Trai numerosi contributi prodotti in questa </w:t>
      </w:r>
      <w:proofErr w:type="gramStart"/>
      <w:r w:rsidRPr="00BD1818">
        <w:rPr>
          <w:rFonts w:ascii="Helvetica Neue" w:hAnsi="Helvetica Neue" w:cs="Times New Roman"/>
          <w:color w:val="333333"/>
          <w:sz w:val="21"/>
          <w:szCs w:val="21"/>
        </w:rPr>
        <w:t>direzione</w:t>
      </w:r>
      <w:proofErr w:type="gramEnd"/>
      <w:r w:rsidRPr="00BD1818">
        <w:rPr>
          <w:rFonts w:ascii="Helvetica Neue" w:hAnsi="Helvetica Neue" w:cs="Times New Roman"/>
          <w:color w:val="333333"/>
          <w:sz w:val="21"/>
          <w:szCs w:val="21"/>
        </w:rPr>
        <w:t xml:space="preserve"> l’attenzione è ricaduta sull’articolo di ricerca di Vitanza et al. (</w:t>
      </w:r>
      <w:r w:rsidRPr="00BD1818">
        <w:rPr>
          <w:rFonts w:ascii="Helvetica Neue" w:hAnsi="Helvetica Neue" w:cs="Times New Roman"/>
          <w:i/>
          <w:iCs/>
          <w:color w:val="333333"/>
          <w:sz w:val="21"/>
          <w:szCs w:val="21"/>
        </w:rPr>
        <w:t>A new contribution to a dynamic competitive equilibrium problem</w:t>
      </w:r>
      <w:r w:rsidRPr="00BD1818">
        <w:rPr>
          <w:rFonts w:ascii="Helvetica Neue" w:hAnsi="Helvetica Neue" w:cs="Times New Roman"/>
          <w:color w:val="333333"/>
          <w:sz w:val="21"/>
          <w:szCs w:val="21"/>
        </w:rPr>
        <w:t xml:space="preserve">, Applied Mathematics Letters, 23 (2010), pp. 148 – 151) in cui gli autori ricercano un equilibrio economico dinamico in un’economia di puro scambio di tipo Walrasiano trattando le principali attività degli agenti in termini di valore medio. In [2], diversamente da Vitanza et al., il problema dell’equilibrio economico dinamico di tipo Walrasiano per un’economia di puro scambio assume connotazioni economiche secondo cui, se il processo di massimizzazione sulle funzioni di utilità fosse realizzato istantaneamente per ogni agente, alla fine del periodo di riferimento considerato, ogni consumatore otterrebbe infinite allocazioni </w:t>
      </w:r>
      <w:proofErr w:type="gramStart"/>
      <w:r w:rsidRPr="00BD1818">
        <w:rPr>
          <w:rFonts w:ascii="Helvetica Neue" w:hAnsi="Helvetica Neue" w:cs="Times New Roman"/>
          <w:color w:val="333333"/>
          <w:sz w:val="21"/>
          <w:szCs w:val="21"/>
        </w:rPr>
        <w:t>a cui</w:t>
      </w:r>
      <w:proofErr w:type="gramEnd"/>
      <w:r w:rsidRPr="00BD1818">
        <w:rPr>
          <w:rFonts w:ascii="Helvetica Neue" w:hAnsi="Helvetica Neue" w:cs="Times New Roman"/>
          <w:color w:val="333333"/>
          <w:sz w:val="21"/>
          <w:szCs w:val="21"/>
        </w:rPr>
        <w:t xml:space="preserve"> corrisponderebbero comunque un numero finito di successi e pertanto solamente la massimizzazione sul valore medio dell’utilità garantirebbe al consumatore la sazietà ottimale per il periodo considerato. Tali argomentazioni economiche, con le relative difficoltà sul modello matematico (lo spazio dei beni è infinito dimensionale perché è lo spazio delle funzioni sommabili sul </w:t>
      </w:r>
      <w:proofErr w:type="gramStart"/>
      <w:r w:rsidRPr="00BD1818">
        <w:rPr>
          <w:rFonts w:ascii="Helvetica Neue" w:hAnsi="Helvetica Neue" w:cs="Times New Roman"/>
          <w:color w:val="333333"/>
          <w:sz w:val="21"/>
          <w:szCs w:val="21"/>
        </w:rPr>
        <w:t>periodo di tempo</w:t>
      </w:r>
      <w:proofErr w:type="gramEnd"/>
      <w:r w:rsidRPr="00BD1818">
        <w:rPr>
          <w:rFonts w:ascii="Helvetica Neue" w:hAnsi="Helvetica Neue" w:cs="Times New Roman"/>
          <w:color w:val="333333"/>
          <w:sz w:val="21"/>
          <w:szCs w:val="21"/>
        </w:rPr>
        <w:t xml:space="preserve"> dato e l’insieme dei prezzi non è compatto) dimostrano che un suddetto equilibrio dinamico economico per un’economia di puro scambio non può essere caratterizzato mediante l’approccio variazionale, in quanto la non produzione (elemento caratterizzante delle economie di puro scambio) per l’intero periodo non implica la non produzione istantanea. Da tale considerazione prima in [9] e [10], poi in [1] è stato realizzato un modello di economia in cui il fattore tempo è legato al consumo di breve termine di un numero fissato di agenti </w:t>
      </w:r>
      <w:proofErr w:type="gramStart"/>
      <w:r w:rsidRPr="00BD1818">
        <w:rPr>
          <w:rFonts w:ascii="Helvetica Neue" w:hAnsi="Helvetica Neue" w:cs="Times New Roman"/>
          <w:color w:val="333333"/>
          <w:sz w:val="21"/>
          <w:szCs w:val="21"/>
        </w:rPr>
        <w:t>ed</w:t>
      </w:r>
      <w:proofErr w:type="gramEnd"/>
      <w:r w:rsidRPr="00BD1818">
        <w:rPr>
          <w:rFonts w:ascii="Helvetica Neue" w:hAnsi="Helvetica Neue" w:cs="Times New Roman"/>
          <w:color w:val="333333"/>
          <w:sz w:val="21"/>
          <w:szCs w:val="21"/>
        </w:rPr>
        <w:t xml:space="preserve"> un eventuale processo produttivo ha solamente la funzione di rimpiazzare quei beni in deterioramento o sottoposti a distruzione. Pertanto un </w:t>
      </w:r>
      <w:proofErr w:type="gramStart"/>
      <w:r w:rsidRPr="00BD1818">
        <w:rPr>
          <w:rFonts w:ascii="Helvetica Neue" w:hAnsi="Helvetica Neue" w:cs="Times New Roman"/>
          <w:color w:val="333333"/>
          <w:sz w:val="21"/>
          <w:szCs w:val="21"/>
        </w:rPr>
        <w:t>tale</w:t>
      </w:r>
      <w:proofErr w:type="gramEnd"/>
      <w:r w:rsidRPr="00BD1818">
        <w:rPr>
          <w:rFonts w:ascii="Helvetica Neue" w:hAnsi="Helvetica Neue" w:cs="Times New Roman"/>
          <w:color w:val="333333"/>
          <w:sz w:val="21"/>
          <w:szCs w:val="21"/>
        </w:rPr>
        <w:t xml:space="preserve"> equilibrio dinamico economico di tipo Walrasiano, indagato a mezzo dell’approccio variazionale, diventa motivo di interesse da ricercare nelle economie sostenibili. </w:t>
      </w:r>
      <w:r w:rsidRPr="00BD1818">
        <w:rPr>
          <w:rFonts w:ascii="Helvetica Neue" w:hAnsi="Helvetica Neue" w:cs="Times New Roman"/>
          <w:i/>
          <w:iCs/>
          <w:color w:val="333333"/>
          <w:sz w:val="21"/>
          <w:szCs w:val="21"/>
          <w:u w:val="single"/>
        </w:rPr>
        <w:t>Equazioni differenziali di tipo ellittico</w:t>
      </w:r>
      <w:r w:rsidRPr="00BD1818">
        <w:rPr>
          <w:rFonts w:ascii="Helvetica Neue" w:hAnsi="Helvetica Neue" w:cs="Times New Roman"/>
          <w:color w:val="333333"/>
          <w:sz w:val="21"/>
          <w:szCs w:val="21"/>
        </w:rPr>
        <w:t xml:space="preserve"> Prima Barucci, Polidoro e Vespri nel 2001 (Barucci </w:t>
      </w:r>
      <w:proofErr w:type="gramStart"/>
      <w:r w:rsidRPr="00BD1818">
        <w:rPr>
          <w:rFonts w:ascii="Helvetica Neue" w:hAnsi="Helvetica Neue" w:cs="Times New Roman"/>
          <w:color w:val="333333"/>
          <w:sz w:val="21"/>
          <w:szCs w:val="21"/>
        </w:rPr>
        <w:t>E.</w:t>
      </w:r>
      <w:proofErr w:type="gramEnd"/>
      <w:r w:rsidRPr="00BD1818">
        <w:rPr>
          <w:rFonts w:ascii="Helvetica Neue" w:hAnsi="Helvetica Neue" w:cs="Times New Roman"/>
          <w:color w:val="333333"/>
          <w:sz w:val="21"/>
          <w:szCs w:val="21"/>
        </w:rPr>
        <w:t>, Polidoro S., Vespri V., </w:t>
      </w:r>
      <w:r w:rsidRPr="00BD1818">
        <w:rPr>
          <w:rFonts w:ascii="Helvetica Neue" w:hAnsi="Helvetica Neue" w:cs="Times New Roman"/>
          <w:i/>
          <w:iCs/>
          <w:color w:val="333333"/>
          <w:sz w:val="21"/>
          <w:szCs w:val="21"/>
        </w:rPr>
        <w:t>Some results on partial differential equations and Asian options</w:t>
      </w:r>
      <w:r w:rsidRPr="00BD1818">
        <w:rPr>
          <w:rFonts w:ascii="Helvetica Neue" w:hAnsi="Helvetica Neue" w:cs="Times New Roman"/>
          <w:color w:val="333333"/>
          <w:sz w:val="21"/>
          <w:szCs w:val="21"/>
        </w:rPr>
        <w:t xml:space="preserve">, Math. Models Methods Appl. Sci no. 3, 475-497) e poi </w:t>
      </w:r>
      <w:proofErr w:type="gramStart"/>
      <w:r w:rsidRPr="00BD1818">
        <w:rPr>
          <w:rFonts w:ascii="Helvetica Neue" w:hAnsi="Helvetica Neue" w:cs="Times New Roman"/>
          <w:color w:val="333333"/>
          <w:sz w:val="21"/>
          <w:szCs w:val="21"/>
        </w:rPr>
        <w:t>successivamente</w:t>
      </w:r>
      <w:proofErr w:type="gramEnd"/>
      <w:r w:rsidRPr="00BD1818">
        <w:rPr>
          <w:rFonts w:ascii="Helvetica Neue" w:hAnsi="Helvetica Neue" w:cs="Times New Roman"/>
          <w:color w:val="333333"/>
          <w:sz w:val="21"/>
          <w:szCs w:val="21"/>
        </w:rPr>
        <w:t xml:space="preserve"> </w:t>
      </w:r>
      <w:r w:rsidRPr="00BD1818">
        <w:rPr>
          <w:rFonts w:ascii="Helvetica Neue" w:hAnsi="Helvetica Neue" w:cs="Times New Roman"/>
          <w:color w:val="333333"/>
          <w:sz w:val="21"/>
          <w:szCs w:val="21"/>
        </w:rPr>
        <w:lastRenderedPageBreak/>
        <w:t>Giuli , Gozzi , Monte e Vespri (Giuli M., Gozzi F., Monte R., Vespri V., </w:t>
      </w:r>
      <w:r w:rsidRPr="00BD1818">
        <w:rPr>
          <w:rFonts w:ascii="Helvetica Neue" w:hAnsi="Helvetica Neue" w:cs="Times New Roman"/>
          <w:i/>
          <w:iCs/>
          <w:color w:val="333333"/>
          <w:sz w:val="21"/>
          <w:szCs w:val="21"/>
        </w:rPr>
        <w:t>Generation of analytic semogrups and domain characterization for degenerate elliptic operators with unbounded coefficients arising in financial mathematics I</w:t>
      </w:r>
      <w:r w:rsidRPr="00BD1818">
        <w:rPr>
          <w:rFonts w:ascii="Helvetica Neue" w:hAnsi="Helvetica Neue" w:cs="Times New Roman"/>
          <w:color w:val="333333"/>
          <w:sz w:val="21"/>
          <w:szCs w:val="21"/>
        </w:rPr>
        <w:t> Differential Integral Equations 15 (2002), no. 9,1085-1128; Giuli M., Gozzi F., Monte R., Vespri V., </w:t>
      </w:r>
      <w:r w:rsidRPr="00BD1818">
        <w:rPr>
          <w:rFonts w:ascii="Helvetica Neue" w:hAnsi="Helvetica Neue" w:cs="Times New Roman"/>
          <w:i/>
          <w:iCs/>
          <w:color w:val="333333"/>
          <w:sz w:val="21"/>
          <w:szCs w:val="21"/>
        </w:rPr>
        <w:t xml:space="preserve">Generation of analytic semogrups and </w:t>
      </w:r>
      <w:proofErr w:type="gramStart"/>
      <w:r w:rsidRPr="00BD1818">
        <w:rPr>
          <w:rFonts w:ascii="Helvetica Neue" w:hAnsi="Helvetica Neue" w:cs="Times New Roman"/>
          <w:i/>
          <w:iCs/>
          <w:color w:val="333333"/>
          <w:sz w:val="21"/>
          <w:szCs w:val="21"/>
        </w:rPr>
        <w:t>domain</w:t>
      </w:r>
      <w:proofErr w:type="gramEnd"/>
      <w:r w:rsidRPr="00BD1818">
        <w:rPr>
          <w:rFonts w:ascii="Helvetica Neue" w:hAnsi="Helvetica Neue" w:cs="Times New Roman"/>
          <w:i/>
          <w:iCs/>
          <w:color w:val="333333"/>
          <w:sz w:val="21"/>
          <w:szCs w:val="21"/>
        </w:rPr>
        <w:t xml:space="preserve"> characterization for degenerate elliptic operators with unbounded coefficients arising in financial mathematics II</w:t>
      </w:r>
      <w:r w:rsidRPr="00BD1818">
        <w:rPr>
          <w:rFonts w:ascii="Helvetica Neue" w:hAnsi="Helvetica Neue" w:cs="Times New Roman"/>
          <w:color w:val="333333"/>
          <w:sz w:val="21"/>
          <w:szCs w:val="21"/>
        </w:rPr>
        <w:t> Functional analysis and evolution equations, 315-330, Birkauser, Basel,2008) hanno studiato la buona posizione dei problemi alle derivate parziali ellittico degenere per la valutazione di opzioni finanziarie. In questa direzione, risolvendo il problema di Neumann Iin RN proposto da Anello et al. (</w:t>
      </w:r>
      <w:proofErr w:type="gramStart"/>
      <w:r w:rsidRPr="00BD1818">
        <w:rPr>
          <w:rFonts w:ascii="Helvetica Neue" w:hAnsi="Helvetica Neue" w:cs="Times New Roman"/>
          <w:color w:val="333333"/>
          <w:sz w:val="21"/>
          <w:szCs w:val="21"/>
        </w:rPr>
        <w:t>G.Anello</w:t>
      </w:r>
      <w:proofErr w:type="gramEnd"/>
      <w:r w:rsidRPr="00BD1818">
        <w:rPr>
          <w:rFonts w:ascii="Helvetica Neue" w:hAnsi="Helvetica Neue" w:cs="Times New Roman"/>
          <w:color w:val="333333"/>
          <w:sz w:val="21"/>
          <w:szCs w:val="21"/>
        </w:rPr>
        <w:t xml:space="preserve"> and G. Cordaro, </w:t>
      </w:r>
      <w:r w:rsidRPr="00BD1818">
        <w:rPr>
          <w:rFonts w:ascii="Helvetica Neue" w:hAnsi="Helvetica Neue" w:cs="Times New Roman"/>
          <w:i/>
          <w:iCs/>
          <w:color w:val="333333"/>
          <w:sz w:val="21"/>
          <w:szCs w:val="21"/>
        </w:rPr>
        <w:t>Existence of solution of the Neumann problem for a class of equations involving p-Laplacian operator via a variational principle of Ricceri</w:t>
      </w:r>
      <w:r w:rsidRPr="00BD1818">
        <w:rPr>
          <w:rFonts w:ascii="Helvetica Neue" w:hAnsi="Helvetica Neue" w:cs="Times New Roman"/>
          <w:color w:val="333333"/>
          <w:sz w:val="21"/>
          <w:szCs w:val="21"/>
        </w:rPr>
        <w:t xml:space="preserve">, Arch. Math. 79(2002), 274-287), con riferimento ad alcune classi di equazioni alle derivate parziali di tipo ellittico non lineari, in [6] sono stati stabiliti risultati di esistenza di soluzioni non banali per tali equazioni. La soluzione di tale problema ellittico degenere è stata individuata mediante procedure variazionali secondo cui le soluzioni corrispondono a punti critici di opportuni funzionali definiti su alcuni spazi di funzioni. </w:t>
      </w:r>
      <w:proofErr w:type="gramStart"/>
      <w:r w:rsidRPr="00BD1818">
        <w:rPr>
          <w:rFonts w:ascii="Helvetica Neue" w:hAnsi="Helvetica Neue" w:cs="Times New Roman"/>
          <w:color w:val="333333"/>
          <w:sz w:val="21"/>
          <w:szCs w:val="21"/>
        </w:rPr>
        <w:t>Attualmente</w:t>
      </w:r>
      <w:proofErr w:type="gramEnd"/>
      <w:r w:rsidRPr="00BD1818">
        <w:rPr>
          <w:rFonts w:ascii="Helvetica Neue" w:hAnsi="Helvetica Neue" w:cs="Times New Roman"/>
          <w:color w:val="333333"/>
          <w:sz w:val="21"/>
          <w:szCs w:val="21"/>
        </w:rPr>
        <w:t xml:space="preserve"> si stanno valutando le possibili implicazioni di tali risultati e di altri problemi di tipo ellittico degeneri che valuterebbero il prezzo di opzioni esotiche. </w:t>
      </w:r>
      <w:r w:rsidRPr="00BD1818">
        <w:rPr>
          <w:rFonts w:ascii="Helvetica Neue" w:hAnsi="Helvetica Neue" w:cs="Times New Roman"/>
          <w:i/>
          <w:iCs/>
          <w:color w:val="333333"/>
          <w:sz w:val="21"/>
          <w:szCs w:val="21"/>
          <w:u w:val="single"/>
        </w:rPr>
        <w:t>Metodi statistici</w:t>
      </w:r>
      <w:r w:rsidRPr="00BD1818">
        <w:rPr>
          <w:rFonts w:ascii="Helvetica Neue" w:hAnsi="Helvetica Neue" w:cs="Times New Roman"/>
          <w:color w:val="333333"/>
          <w:sz w:val="21"/>
          <w:szCs w:val="21"/>
        </w:rPr>
        <w:t xml:space="preserve"> Infine per completezza </w:t>
      </w:r>
      <w:proofErr w:type="gramStart"/>
      <w:r w:rsidRPr="00BD1818">
        <w:rPr>
          <w:rFonts w:ascii="Helvetica Neue" w:hAnsi="Helvetica Neue" w:cs="Times New Roman"/>
          <w:color w:val="333333"/>
          <w:sz w:val="21"/>
          <w:szCs w:val="21"/>
        </w:rPr>
        <w:t xml:space="preserve">di </w:t>
      </w:r>
      <w:proofErr w:type="gramEnd"/>
      <w:r w:rsidRPr="00BD1818">
        <w:rPr>
          <w:rFonts w:ascii="Helvetica Neue" w:hAnsi="Helvetica Neue" w:cs="Times New Roman"/>
          <w:color w:val="333333"/>
          <w:sz w:val="21"/>
          <w:szCs w:val="21"/>
        </w:rPr>
        <w:t xml:space="preserve">informazione è menzionato nella produzione scientifica anche il preprint [9] in cui è riportato il caso di studio italiano sulla performance ospedaliera degli stakeholders (physicians, caregivers e administrative staff) dell’Azienda Ospedaliera Universitaria “Mater Domini” di Catanzaro. L’indagine messa in comparazione con il caso francese proposto da Minvielle et al. 2008 (Minvielle, </w:t>
      </w:r>
      <w:proofErr w:type="gramStart"/>
      <w:r w:rsidRPr="00BD1818">
        <w:rPr>
          <w:rFonts w:ascii="Helvetica Neue" w:hAnsi="Helvetica Neue" w:cs="Times New Roman"/>
          <w:color w:val="333333"/>
          <w:sz w:val="21"/>
          <w:szCs w:val="21"/>
        </w:rPr>
        <w:t>E.</w:t>
      </w:r>
      <w:proofErr w:type="gramEnd"/>
      <w:r w:rsidRPr="00BD1818">
        <w:rPr>
          <w:rFonts w:ascii="Helvetica Neue" w:hAnsi="Helvetica Neue" w:cs="Times New Roman"/>
          <w:color w:val="333333"/>
          <w:sz w:val="21"/>
          <w:szCs w:val="21"/>
        </w:rPr>
        <w:t>, Sicotte, C., Champagne, F., Contandriopoulos, A.P., Jeantet, M., Préaubert, N., Bourdil, A., &amp; Richiard, C. (2008). Hospital performance: Competing or shared values?</w:t>
      </w:r>
      <w:r w:rsidRPr="00BD1818">
        <w:rPr>
          <w:rFonts w:ascii="Helvetica Neue" w:hAnsi="Helvetica Neue" w:cs="Times New Roman"/>
          <w:i/>
          <w:iCs/>
          <w:color w:val="333333"/>
          <w:sz w:val="21"/>
          <w:szCs w:val="21"/>
        </w:rPr>
        <w:t> Health Policy</w:t>
      </w:r>
      <w:r w:rsidRPr="00BD1818">
        <w:rPr>
          <w:rFonts w:ascii="Helvetica Neue" w:hAnsi="Helvetica Neue" w:cs="Times New Roman"/>
          <w:color w:val="333333"/>
          <w:sz w:val="21"/>
          <w:szCs w:val="21"/>
        </w:rPr>
        <w:t xml:space="preserve">, </w:t>
      </w:r>
      <w:proofErr w:type="gramStart"/>
      <w:r w:rsidRPr="00BD1818">
        <w:rPr>
          <w:rFonts w:ascii="Helvetica Neue" w:hAnsi="Helvetica Neue" w:cs="Times New Roman"/>
          <w:color w:val="333333"/>
          <w:sz w:val="21"/>
          <w:szCs w:val="21"/>
        </w:rPr>
        <w:t>87</w:t>
      </w:r>
      <w:proofErr w:type="gramEnd"/>
      <w:r w:rsidRPr="00BD1818">
        <w:rPr>
          <w:rFonts w:ascii="Helvetica Neue" w:hAnsi="Helvetica Neue" w:cs="Times New Roman"/>
          <w:color w:val="333333"/>
          <w:sz w:val="21"/>
          <w:szCs w:val="21"/>
        </w:rPr>
        <w:t>, 8–19) è condotta mediante l’analisi statistica (reliability analysis, factor analysis and ANOVA) delle risultanze emerse da un particolare modello di questionario. 5.1. Elenco delle pubblicazioni</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GENERALIZED DERIVATIONS WITH SKEW-COMMUTATIVITY CONDITIONS ON POLYNOMIALS IN PRIME RINGS </w:t>
      </w:r>
      <w:r w:rsidRPr="00BD1818">
        <w:rPr>
          <w:rFonts w:ascii="Helvetica Neue" w:eastAsia="Times New Roman" w:hAnsi="Helvetica Neue" w:cs="Times New Roman"/>
          <w:color w:val="333333"/>
          <w:sz w:val="21"/>
          <w:szCs w:val="21"/>
        </w:rPr>
        <w:t xml:space="preserve">submitted </w:t>
      </w:r>
      <w:proofErr w:type="gramStart"/>
      <w:r w:rsidRPr="00BD1818">
        <w:rPr>
          <w:rFonts w:ascii="Helvetica Neue" w:eastAsia="Times New Roman" w:hAnsi="Helvetica Neue" w:cs="Times New Roman"/>
          <w:color w:val="333333"/>
          <w:sz w:val="21"/>
          <w:szCs w:val="21"/>
        </w:rPr>
        <w:t>on</w:t>
      </w:r>
      <w:proofErr w:type="gramEnd"/>
      <w:r w:rsidRPr="00BD1818">
        <w:rPr>
          <w:rFonts w:ascii="Helvetica Neue" w:eastAsia="Times New Roman" w:hAnsi="Helvetica Neue" w:cs="Times New Roman"/>
          <w:color w:val="333333"/>
          <w:sz w:val="21"/>
          <w:szCs w:val="21"/>
        </w:rPr>
        <w:t xml:space="preserve"> Beitrage zur Algebra und Geometrie. </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Existence of General Competitive Equilibria: A Variational Approach (with G. Anello)</w:t>
      </w:r>
      <w:r w:rsidRPr="00BD1818">
        <w:rPr>
          <w:rFonts w:ascii="Helvetica Neue" w:eastAsia="Times New Roman" w:hAnsi="Helvetica Neue" w:cs="Times New Roman"/>
          <w:color w:val="333333"/>
          <w:sz w:val="21"/>
          <w:szCs w:val="21"/>
        </w:rPr>
        <w:t xml:space="preserve">, </w:t>
      </w:r>
      <w:proofErr w:type="gramStart"/>
      <w:r w:rsidRPr="00BD1818">
        <w:rPr>
          <w:rFonts w:ascii="Helvetica Neue" w:eastAsia="Times New Roman" w:hAnsi="Helvetica Neue" w:cs="Times New Roman"/>
          <w:color w:val="333333"/>
          <w:sz w:val="21"/>
          <w:szCs w:val="21"/>
        </w:rPr>
        <w:t>Abstract</w:t>
      </w:r>
      <w:proofErr w:type="gramEnd"/>
      <w:r w:rsidRPr="00BD1818">
        <w:rPr>
          <w:rFonts w:ascii="Helvetica Neue" w:eastAsia="Times New Roman" w:hAnsi="Helvetica Neue" w:cs="Times New Roman"/>
          <w:color w:val="333333"/>
          <w:sz w:val="21"/>
          <w:szCs w:val="21"/>
        </w:rPr>
        <w:t xml:space="preserve"> and Applied Analysis, vol. 2016, Article ID 4969253, 10 pages, 2016. </w:t>
      </w:r>
      <w:proofErr w:type="gramStart"/>
      <w:r w:rsidRPr="00BD1818">
        <w:rPr>
          <w:rFonts w:ascii="Helvetica Neue" w:eastAsia="Times New Roman" w:hAnsi="Helvetica Neue" w:cs="Times New Roman"/>
          <w:color w:val="333333"/>
          <w:sz w:val="21"/>
          <w:szCs w:val="21"/>
        </w:rPr>
        <w:t>doi</w:t>
      </w:r>
      <w:proofErr w:type="gramEnd"/>
      <w:r w:rsidRPr="00BD1818">
        <w:rPr>
          <w:rFonts w:ascii="Helvetica Neue" w:eastAsia="Times New Roman" w:hAnsi="Helvetica Neue" w:cs="Times New Roman"/>
          <w:color w:val="333333"/>
          <w:sz w:val="21"/>
          <w:szCs w:val="21"/>
        </w:rPr>
        <w:t>:10.1155/2016/4969253.</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 xml:space="preserve">GQVIs </w:t>
      </w:r>
      <w:proofErr w:type="gramStart"/>
      <w:r w:rsidRPr="00BD1818">
        <w:rPr>
          <w:rFonts w:ascii="Helvetica Neue" w:eastAsia="Times New Roman" w:hAnsi="Helvetica Neue" w:cs="Times New Roman"/>
          <w:i/>
          <w:iCs/>
          <w:color w:val="333333"/>
          <w:sz w:val="21"/>
          <w:szCs w:val="21"/>
        </w:rPr>
        <w:t>for</w:t>
      </w:r>
      <w:proofErr w:type="gramEnd"/>
      <w:r w:rsidRPr="00BD1818">
        <w:rPr>
          <w:rFonts w:ascii="Helvetica Neue" w:eastAsia="Times New Roman" w:hAnsi="Helvetica Neue" w:cs="Times New Roman"/>
          <w:i/>
          <w:iCs/>
          <w:color w:val="333333"/>
          <w:sz w:val="21"/>
          <w:szCs w:val="21"/>
        </w:rPr>
        <w:t xml:space="preserve"> studying competitive equilibrium problem when utilities are locally Lipschitz and quasi-concave</w:t>
      </w:r>
      <w:r w:rsidRPr="00BD1818">
        <w:rPr>
          <w:rFonts w:ascii="Helvetica Neue" w:eastAsia="Times New Roman" w:hAnsi="Helvetica Neue" w:cs="Times New Roman"/>
          <w:color w:val="333333"/>
          <w:sz w:val="21"/>
          <w:szCs w:val="21"/>
        </w:rPr>
        <w:t>, Applied Mathematical Sciences, Vol. 10, 2016, no. 9, 403-416, htt://dx.doi.org/10.12988/ams.2016.512734.</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 xml:space="preserve">A Quadratic Differential Identity with Generalized Derivations </w:t>
      </w:r>
      <w:proofErr w:type="gramStart"/>
      <w:r w:rsidRPr="00BD1818">
        <w:rPr>
          <w:rFonts w:ascii="Helvetica Neue" w:eastAsia="Times New Roman" w:hAnsi="Helvetica Neue" w:cs="Times New Roman"/>
          <w:i/>
          <w:iCs/>
          <w:color w:val="333333"/>
          <w:sz w:val="21"/>
          <w:szCs w:val="21"/>
        </w:rPr>
        <w:t>on</w:t>
      </w:r>
      <w:proofErr w:type="gramEnd"/>
      <w:r w:rsidRPr="00BD1818">
        <w:rPr>
          <w:rFonts w:ascii="Helvetica Neue" w:eastAsia="Times New Roman" w:hAnsi="Helvetica Neue" w:cs="Times New Roman"/>
          <w:i/>
          <w:iCs/>
          <w:color w:val="333333"/>
          <w:sz w:val="21"/>
          <w:szCs w:val="21"/>
        </w:rPr>
        <w:t xml:space="preserve"> Mutilinear Polynomials in Prime Rings</w:t>
      </w:r>
      <w:r w:rsidRPr="00BD1818">
        <w:rPr>
          <w:rFonts w:ascii="Helvetica Neue" w:eastAsia="Times New Roman" w:hAnsi="Helvetica Neue" w:cs="Times New Roman"/>
          <w:color w:val="333333"/>
          <w:sz w:val="21"/>
          <w:szCs w:val="21"/>
        </w:rPr>
        <w:t>(with G. Scudo), Mediterranean Journal of Mathematics, 11(2), 2014, pp. 273 – 285.</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Quasi-variational Analysis of a Dynamic Walrasian Competitive Exchange Economy</w:t>
      </w:r>
      <w:r w:rsidRPr="00BD1818">
        <w:rPr>
          <w:rFonts w:ascii="Helvetica Neue" w:eastAsia="Times New Roman" w:hAnsi="Helvetica Neue" w:cs="Times New Roman"/>
          <w:color w:val="333333"/>
          <w:sz w:val="21"/>
          <w:szCs w:val="21"/>
        </w:rPr>
        <w:t xml:space="preserve">, (with G. Anello) </w:t>
      </w:r>
      <w:proofErr w:type="gramStart"/>
      <w:r w:rsidRPr="00BD1818">
        <w:rPr>
          <w:rFonts w:ascii="Helvetica Neue" w:eastAsia="Times New Roman" w:hAnsi="Helvetica Neue" w:cs="Times New Roman"/>
          <w:color w:val="333333"/>
          <w:sz w:val="21"/>
          <w:szCs w:val="21"/>
        </w:rPr>
        <w:t>Int.</w:t>
      </w:r>
      <w:proofErr w:type="gramEnd"/>
      <w:r w:rsidRPr="00BD1818">
        <w:rPr>
          <w:rFonts w:ascii="Helvetica Neue" w:eastAsia="Times New Roman" w:hAnsi="Helvetica Neue" w:cs="Times New Roman"/>
          <w:color w:val="333333"/>
          <w:sz w:val="21"/>
          <w:szCs w:val="21"/>
        </w:rPr>
        <w:t xml:space="preserve"> Journal of Math. Analysis, Vol. 7, 2013, no. 51, 2517 – 2534.</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proofErr w:type="gramStart"/>
      <w:r w:rsidRPr="00BD1818">
        <w:rPr>
          <w:rFonts w:ascii="Helvetica Neue" w:eastAsia="Times New Roman" w:hAnsi="Helvetica Neue" w:cs="Times New Roman"/>
          <w:i/>
          <w:iCs/>
          <w:color w:val="333333"/>
          <w:sz w:val="21"/>
          <w:szCs w:val="21"/>
        </w:rPr>
        <w:t>On a Competitive Economic Equilibrium Referred to a Continuous Time Period</w:t>
      </w:r>
      <w:r w:rsidRPr="00BD1818">
        <w:rPr>
          <w:rFonts w:ascii="Helvetica Neue" w:eastAsia="Times New Roman" w:hAnsi="Helvetica Neue" w:cs="Times New Roman"/>
          <w:color w:val="333333"/>
          <w:sz w:val="21"/>
          <w:szCs w:val="21"/>
        </w:rPr>
        <w:t>, Applied Mathematical Sciences, Vol. 7, 2013, no</w:t>
      </w:r>
      <w:proofErr w:type="gramEnd"/>
      <w:r w:rsidRPr="00BD1818">
        <w:rPr>
          <w:rFonts w:ascii="Helvetica Neue" w:eastAsia="Times New Roman" w:hAnsi="Helvetica Neue" w:cs="Times New Roman"/>
          <w:color w:val="333333"/>
          <w:sz w:val="21"/>
          <w:szCs w:val="21"/>
        </w:rPr>
        <w:t>. 111, 5505 – 5513.</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 xml:space="preserve">A note </w:t>
      </w:r>
      <w:proofErr w:type="gramStart"/>
      <w:r w:rsidRPr="00BD1818">
        <w:rPr>
          <w:rFonts w:ascii="Helvetica Neue" w:eastAsia="Times New Roman" w:hAnsi="Helvetica Neue" w:cs="Times New Roman"/>
          <w:i/>
          <w:iCs/>
          <w:color w:val="333333"/>
          <w:sz w:val="21"/>
          <w:szCs w:val="21"/>
        </w:rPr>
        <w:t>on</w:t>
      </w:r>
      <w:proofErr w:type="gramEnd"/>
      <w:r w:rsidRPr="00BD1818">
        <w:rPr>
          <w:rFonts w:ascii="Helvetica Neue" w:eastAsia="Times New Roman" w:hAnsi="Helvetica Neue" w:cs="Times New Roman"/>
          <w:i/>
          <w:iCs/>
          <w:color w:val="333333"/>
          <w:sz w:val="21"/>
          <w:szCs w:val="21"/>
        </w:rPr>
        <w:t xml:space="preserve"> Sandwich Engel Conditions on Lie Ideals in Semiprime Rings, </w:t>
      </w:r>
      <w:r w:rsidRPr="00BD1818">
        <w:rPr>
          <w:rFonts w:ascii="Helvetica Neue" w:eastAsia="Times New Roman" w:hAnsi="Helvetica Neue" w:cs="Times New Roman"/>
          <w:color w:val="333333"/>
          <w:sz w:val="21"/>
          <w:szCs w:val="21"/>
        </w:rPr>
        <w:t>international mathematical Forum, Vol. 8, 2013, no. 31, 1503 – 1508.</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 xml:space="preserve">A Quadratic Differential Identity with Generalized Derivations </w:t>
      </w:r>
      <w:proofErr w:type="gramStart"/>
      <w:r w:rsidRPr="00BD1818">
        <w:rPr>
          <w:rFonts w:ascii="Helvetica Neue" w:eastAsia="Times New Roman" w:hAnsi="Helvetica Neue" w:cs="Times New Roman"/>
          <w:i/>
          <w:iCs/>
          <w:color w:val="333333"/>
          <w:sz w:val="21"/>
          <w:szCs w:val="21"/>
        </w:rPr>
        <w:t>on</w:t>
      </w:r>
      <w:proofErr w:type="gramEnd"/>
      <w:r w:rsidRPr="00BD1818">
        <w:rPr>
          <w:rFonts w:ascii="Helvetica Neue" w:eastAsia="Times New Roman" w:hAnsi="Helvetica Neue" w:cs="Times New Roman"/>
          <w:i/>
          <w:iCs/>
          <w:color w:val="333333"/>
          <w:sz w:val="21"/>
          <w:szCs w:val="21"/>
        </w:rPr>
        <w:t xml:space="preserve"> Mutilinear Polynomials in Prime Rings</w:t>
      </w:r>
      <w:r w:rsidRPr="00BD1818">
        <w:rPr>
          <w:rFonts w:ascii="Helvetica Neue" w:eastAsia="Times New Roman" w:hAnsi="Helvetica Neue" w:cs="Times New Roman"/>
          <w:color w:val="333333"/>
          <w:sz w:val="21"/>
          <w:szCs w:val="21"/>
        </w:rPr>
        <w:t>, (with G. Scudo) Mediterranean Journal of Mathematics, 2013, DOI 101007/s00009-013-0331-8, in press.</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 xml:space="preserve">A Note </w:t>
      </w:r>
      <w:proofErr w:type="gramStart"/>
      <w:r w:rsidRPr="00BD1818">
        <w:rPr>
          <w:rFonts w:ascii="Helvetica Neue" w:eastAsia="Times New Roman" w:hAnsi="Helvetica Neue" w:cs="Times New Roman"/>
          <w:i/>
          <w:iCs/>
          <w:color w:val="333333"/>
          <w:sz w:val="21"/>
          <w:szCs w:val="21"/>
        </w:rPr>
        <w:t xml:space="preserve">on </w:t>
      </w:r>
      <w:proofErr w:type="gramEnd"/>
      <w:r w:rsidRPr="00BD1818">
        <w:rPr>
          <w:rFonts w:ascii="Helvetica Neue" w:eastAsia="Times New Roman" w:hAnsi="Helvetica Neue" w:cs="Times New Roman"/>
          <w:i/>
          <w:iCs/>
          <w:color w:val="333333"/>
          <w:sz w:val="21"/>
          <w:szCs w:val="21"/>
        </w:rPr>
        <w:t>Additive Mappings and Commutative Conditions for Prime Rings</w:t>
      </w:r>
      <w:r w:rsidRPr="00BD1818">
        <w:rPr>
          <w:rFonts w:ascii="Helvetica Neue" w:eastAsia="Times New Roman" w:hAnsi="Helvetica Neue" w:cs="Times New Roman"/>
          <w:color w:val="333333"/>
          <w:sz w:val="21"/>
          <w:szCs w:val="21"/>
        </w:rPr>
        <w:t>, in International Mathematical Forum, Vol. 8, 2013, no. 14, 697 – 700.</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proofErr w:type="gramStart"/>
      <w:r w:rsidRPr="00BD1818">
        <w:rPr>
          <w:rFonts w:ascii="Helvetica Neue" w:eastAsia="Times New Roman" w:hAnsi="Helvetica Neue" w:cs="Times New Roman"/>
          <w:i/>
          <w:iCs/>
          <w:color w:val="333333"/>
          <w:sz w:val="21"/>
          <w:szCs w:val="21"/>
        </w:rPr>
        <w:t>Existence Results for Nonlinear Problems in RN involving the p-Laplacian</w:t>
      </w:r>
      <w:r w:rsidRPr="00BD1818">
        <w:rPr>
          <w:rFonts w:ascii="Helvetica Neue" w:eastAsia="Times New Roman" w:hAnsi="Helvetica Neue" w:cs="Times New Roman"/>
          <w:color w:val="333333"/>
          <w:sz w:val="21"/>
          <w:szCs w:val="21"/>
        </w:rPr>
        <w:t>, (with G. Anello) International Journal of Mathematical Analysis, V</w:t>
      </w:r>
      <w:proofErr w:type="gramEnd"/>
      <w:r w:rsidRPr="00BD1818">
        <w:rPr>
          <w:rFonts w:ascii="Helvetica Neue" w:eastAsia="Times New Roman" w:hAnsi="Helvetica Neue" w:cs="Times New Roman"/>
          <w:color w:val="333333"/>
          <w:sz w:val="21"/>
          <w:szCs w:val="21"/>
        </w:rPr>
        <w:t>ol. 5, 2011, no. 48, 2349 – 2359.</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proofErr w:type="gramStart"/>
      <w:r w:rsidRPr="00BD1818">
        <w:rPr>
          <w:rFonts w:ascii="Helvetica Neue" w:eastAsia="Times New Roman" w:hAnsi="Helvetica Neue" w:cs="Times New Roman"/>
          <w:i/>
          <w:iCs/>
          <w:color w:val="333333"/>
          <w:sz w:val="21"/>
          <w:szCs w:val="21"/>
        </w:rPr>
        <w:t>Mutilinear Polynomials and Cocentralizing Conditions in Prime Rings</w:t>
      </w:r>
      <w:r w:rsidRPr="00BD1818">
        <w:rPr>
          <w:rFonts w:ascii="Helvetica Neue" w:eastAsia="Times New Roman" w:hAnsi="Helvetica Neue" w:cs="Times New Roman"/>
          <w:color w:val="333333"/>
          <w:sz w:val="21"/>
          <w:szCs w:val="21"/>
        </w:rPr>
        <w:t>, (with V. De Filippis) Siberian Mathematical Journal, Vol. 52, No</w:t>
      </w:r>
      <w:proofErr w:type="gramEnd"/>
      <w:r w:rsidRPr="00BD1818">
        <w:rPr>
          <w:rFonts w:ascii="Helvetica Neue" w:eastAsia="Times New Roman" w:hAnsi="Helvetica Neue" w:cs="Times New Roman"/>
          <w:color w:val="333333"/>
          <w:sz w:val="21"/>
          <w:szCs w:val="21"/>
        </w:rPr>
        <w:t>. 5, pp. 813 - 823, 2011.</w:t>
      </w:r>
    </w:p>
    <w:p w:rsidR="00BD1818" w:rsidRPr="00BD1818" w:rsidRDefault="00BD1818" w:rsidP="00BD1818">
      <w:pPr>
        <w:numPr>
          <w:ilvl w:val="0"/>
          <w:numId w:val="1"/>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 xml:space="preserve">Commuting and Centralizing Generalized Derivations </w:t>
      </w:r>
      <w:proofErr w:type="gramStart"/>
      <w:r w:rsidRPr="00BD1818">
        <w:rPr>
          <w:rFonts w:ascii="Helvetica Neue" w:eastAsia="Times New Roman" w:hAnsi="Helvetica Neue" w:cs="Times New Roman"/>
          <w:i/>
          <w:iCs/>
          <w:color w:val="333333"/>
          <w:sz w:val="21"/>
          <w:szCs w:val="21"/>
        </w:rPr>
        <w:t>on</w:t>
      </w:r>
      <w:proofErr w:type="gramEnd"/>
      <w:r w:rsidRPr="00BD1818">
        <w:rPr>
          <w:rFonts w:ascii="Helvetica Neue" w:eastAsia="Times New Roman" w:hAnsi="Helvetica Neue" w:cs="Times New Roman"/>
          <w:i/>
          <w:iCs/>
          <w:color w:val="333333"/>
          <w:sz w:val="21"/>
          <w:szCs w:val="21"/>
        </w:rPr>
        <w:t xml:space="preserve"> Lie Ideals in Prime Rings</w:t>
      </w:r>
      <w:r w:rsidRPr="00BD1818">
        <w:rPr>
          <w:rFonts w:ascii="Helvetica Neue" w:eastAsia="Times New Roman" w:hAnsi="Helvetica Neue" w:cs="Times New Roman"/>
          <w:color w:val="333333"/>
          <w:sz w:val="21"/>
          <w:szCs w:val="21"/>
        </w:rPr>
        <w:t>, (with V. De Filippis) Mathematical Notes, Vol. 88, No. 5, 2010, pp. 748 – 758.</w:t>
      </w:r>
    </w:p>
    <w:p w:rsidR="00BD1818" w:rsidRPr="00BD1818" w:rsidRDefault="00BD1818" w:rsidP="00BD1818">
      <w:pPr>
        <w:shd w:val="clear" w:color="auto" w:fill="FFFFFF"/>
        <w:spacing w:before="300" w:after="150"/>
        <w:outlineLvl w:val="2"/>
        <w:rPr>
          <w:rFonts w:ascii="Helvetica Neue" w:eastAsia="Times New Roman" w:hAnsi="Helvetica Neue" w:cs="Times New Roman"/>
          <w:color w:val="333333"/>
          <w:sz w:val="36"/>
          <w:szCs w:val="36"/>
        </w:rPr>
      </w:pPr>
      <w:r w:rsidRPr="00BD1818">
        <w:rPr>
          <w:rFonts w:ascii="Helvetica Neue" w:eastAsia="Times New Roman" w:hAnsi="Helvetica Neue" w:cs="Times New Roman"/>
          <w:color w:val="333333"/>
          <w:sz w:val="36"/>
          <w:szCs w:val="36"/>
        </w:rPr>
        <w:t>Preprint</w:t>
      </w:r>
    </w:p>
    <w:p w:rsidR="00BD1818" w:rsidRPr="00BD1818" w:rsidRDefault="00BD1818" w:rsidP="00BD1818">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proofErr w:type="gramStart"/>
      <w:r w:rsidRPr="00BD1818">
        <w:rPr>
          <w:rFonts w:ascii="Helvetica Neue" w:eastAsia="Times New Roman" w:hAnsi="Helvetica Neue" w:cs="Times New Roman"/>
          <w:i/>
          <w:iCs/>
          <w:color w:val="333333"/>
          <w:sz w:val="21"/>
          <w:szCs w:val="21"/>
        </w:rPr>
        <w:t>Peer group and team production on academic performance: individual cultural habits toward aggregative cultural habits </w:t>
      </w:r>
      <w:r w:rsidRPr="00BD1818">
        <w:rPr>
          <w:rFonts w:ascii="Helvetica Neue" w:eastAsia="Times New Roman" w:hAnsi="Helvetica Neue" w:cs="Times New Roman"/>
          <w:color w:val="333333"/>
          <w:sz w:val="21"/>
          <w:szCs w:val="21"/>
        </w:rPr>
        <w:t>(with F</w:t>
      </w:r>
      <w:proofErr w:type="gramEnd"/>
      <w:r w:rsidRPr="00BD1818">
        <w:rPr>
          <w:rFonts w:ascii="Helvetica Neue" w:eastAsia="Times New Roman" w:hAnsi="Helvetica Neue" w:cs="Times New Roman"/>
          <w:color w:val="333333"/>
          <w:sz w:val="21"/>
          <w:szCs w:val="21"/>
        </w:rPr>
        <w:t xml:space="preserve">. </w:t>
      </w:r>
      <w:proofErr w:type="gramStart"/>
      <w:r w:rsidRPr="00BD1818">
        <w:rPr>
          <w:rFonts w:ascii="Helvetica Neue" w:eastAsia="Times New Roman" w:hAnsi="Helvetica Neue" w:cs="Times New Roman"/>
          <w:color w:val="333333"/>
          <w:sz w:val="21"/>
          <w:szCs w:val="21"/>
        </w:rPr>
        <w:t>Lo</w:t>
      </w:r>
      <w:proofErr w:type="gramEnd"/>
      <w:r w:rsidRPr="00BD1818">
        <w:rPr>
          <w:rFonts w:ascii="Helvetica Neue" w:eastAsia="Times New Roman" w:hAnsi="Helvetica Neue" w:cs="Times New Roman"/>
          <w:color w:val="333333"/>
          <w:sz w:val="21"/>
          <w:szCs w:val="21"/>
        </w:rPr>
        <w:t xml:space="preserve"> Prete and E. Macrì)</w:t>
      </w:r>
    </w:p>
    <w:p w:rsidR="00BD1818" w:rsidRPr="00BD1818" w:rsidRDefault="00BD1818" w:rsidP="00BD1818">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proofErr w:type="gramStart"/>
      <w:r w:rsidRPr="00BD1818">
        <w:rPr>
          <w:rFonts w:ascii="Helvetica Neue" w:eastAsia="Times New Roman" w:hAnsi="Helvetica Neue" w:cs="Times New Roman"/>
          <w:i/>
          <w:iCs/>
          <w:color w:val="333333"/>
          <w:sz w:val="21"/>
          <w:szCs w:val="21"/>
        </w:rPr>
        <w:t>Exploring Effectiveness of P4P Scheme from Italian General Practitioners’ Perspective: a replication study </w:t>
      </w:r>
      <w:r w:rsidRPr="00BD1818">
        <w:rPr>
          <w:rFonts w:ascii="Helvetica Neue" w:eastAsia="Times New Roman" w:hAnsi="Helvetica Neue" w:cs="Times New Roman"/>
          <w:color w:val="333333"/>
          <w:sz w:val="21"/>
          <w:szCs w:val="21"/>
        </w:rPr>
        <w:t>(with M. Giancotti and M. Mauro)</w:t>
      </w:r>
      <w:proofErr w:type="gramEnd"/>
    </w:p>
    <w:p w:rsidR="00BD1818" w:rsidRPr="00BD1818" w:rsidRDefault="00BD1818" w:rsidP="00BD1818">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proofErr w:type="gramStart"/>
      <w:r w:rsidRPr="00BD1818">
        <w:rPr>
          <w:rFonts w:ascii="Helvetica Neue" w:eastAsia="Times New Roman" w:hAnsi="Helvetica Neue" w:cs="Times New Roman"/>
          <w:i/>
          <w:iCs/>
          <w:color w:val="333333"/>
          <w:sz w:val="21"/>
          <w:szCs w:val="21"/>
        </w:rPr>
        <w:t>HUMAN CAPITAL AND CULTURAL PARTICIPATION: AN INVESTIGATION ON STUDENT’S PERFORMANCE</w:t>
      </w:r>
      <w:r w:rsidRPr="00BD1818">
        <w:rPr>
          <w:rFonts w:ascii="Helvetica Neue" w:eastAsia="Times New Roman" w:hAnsi="Helvetica Neue" w:cs="Times New Roman"/>
          <w:color w:val="333333"/>
          <w:sz w:val="21"/>
          <w:szCs w:val="21"/>
        </w:rPr>
        <w:t> (with F</w:t>
      </w:r>
      <w:proofErr w:type="gramEnd"/>
      <w:r w:rsidRPr="00BD1818">
        <w:rPr>
          <w:rFonts w:ascii="Helvetica Neue" w:eastAsia="Times New Roman" w:hAnsi="Helvetica Neue" w:cs="Times New Roman"/>
          <w:color w:val="333333"/>
          <w:sz w:val="21"/>
          <w:szCs w:val="21"/>
        </w:rPr>
        <w:t xml:space="preserve">. </w:t>
      </w:r>
      <w:proofErr w:type="gramStart"/>
      <w:r w:rsidRPr="00BD1818">
        <w:rPr>
          <w:rFonts w:ascii="Helvetica Neue" w:eastAsia="Times New Roman" w:hAnsi="Helvetica Neue" w:cs="Times New Roman"/>
          <w:color w:val="333333"/>
          <w:sz w:val="21"/>
          <w:szCs w:val="21"/>
        </w:rPr>
        <w:t>Lo</w:t>
      </w:r>
      <w:proofErr w:type="gramEnd"/>
      <w:r w:rsidRPr="00BD1818">
        <w:rPr>
          <w:rFonts w:ascii="Helvetica Neue" w:eastAsia="Times New Roman" w:hAnsi="Helvetica Neue" w:cs="Times New Roman"/>
          <w:color w:val="333333"/>
          <w:sz w:val="21"/>
          <w:szCs w:val="21"/>
        </w:rPr>
        <w:t xml:space="preserve"> Prete, E. Macrì and M. Trimarchi)</w:t>
      </w:r>
    </w:p>
    <w:p w:rsidR="00BD1818" w:rsidRPr="00BD1818" w:rsidRDefault="00BD1818" w:rsidP="00BD1818">
      <w:pPr>
        <w:numPr>
          <w:ilvl w:val="0"/>
          <w:numId w:val="2"/>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 xml:space="preserve">A 2-period x 2-space x </w:t>
      </w:r>
      <w:proofErr w:type="gramStart"/>
      <w:r w:rsidRPr="00BD1818">
        <w:rPr>
          <w:rFonts w:ascii="Helvetica Neue" w:eastAsia="Times New Roman" w:hAnsi="Helvetica Neue" w:cs="Times New Roman"/>
          <w:i/>
          <w:iCs/>
          <w:color w:val="333333"/>
          <w:sz w:val="21"/>
          <w:szCs w:val="21"/>
        </w:rPr>
        <w:t>1</w:t>
      </w:r>
      <w:proofErr w:type="gramEnd"/>
      <w:r w:rsidRPr="00BD1818">
        <w:rPr>
          <w:rFonts w:ascii="Helvetica Neue" w:eastAsia="Times New Roman" w:hAnsi="Helvetica Neue" w:cs="Times New Roman"/>
          <w:i/>
          <w:iCs/>
          <w:color w:val="333333"/>
          <w:sz w:val="21"/>
          <w:szCs w:val="21"/>
        </w:rPr>
        <w:t xml:space="preserve"> household model: consumption-saving and remaining-migrating</w:t>
      </w:r>
      <w:r w:rsidRPr="00BD1818">
        <w:rPr>
          <w:rFonts w:ascii="Helvetica Neue" w:eastAsia="Times New Roman" w:hAnsi="Helvetica Neue" w:cs="Times New Roman"/>
          <w:color w:val="333333"/>
          <w:sz w:val="21"/>
          <w:szCs w:val="21"/>
        </w:rPr>
        <w:t> (with A. Di Ruggiero)</w:t>
      </w:r>
      <w:r w:rsidRPr="00BD1818">
        <w:rPr>
          <w:rFonts w:ascii="Helvetica Neue" w:eastAsia="Times New Roman" w:hAnsi="Helvetica Neue" w:cs="Times New Roman"/>
          <w:color w:val="333333"/>
          <w:sz w:val="21"/>
          <w:szCs w:val="21"/>
        </w:rPr>
        <w:br/>
      </w:r>
    </w:p>
    <w:p w:rsidR="00BD1818" w:rsidRPr="00BD1818" w:rsidRDefault="00BD1818" w:rsidP="00BD1818">
      <w:pPr>
        <w:shd w:val="clear" w:color="auto" w:fill="FFFFFF"/>
        <w:spacing w:before="300" w:after="150"/>
        <w:outlineLvl w:val="2"/>
        <w:rPr>
          <w:rFonts w:ascii="Helvetica Neue" w:eastAsia="Times New Roman" w:hAnsi="Helvetica Neue" w:cs="Times New Roman"/>
          <w:color w:val="333333"/>
          <w:sz w:val="36"/>
          <w:szCs w:val="36"/>
        </w:rPr>
      </w:pPr>
      <w:r w:rsidRPr="00BD1818">
        <w:rPr>
          <w:rFonts w:ascii="Helvetica Neue" w:eastAsia="Times New Roman" w:hAnsi="Helvetica Neue" w:cs="Times New Roman"/>
          <w:color w:val="333333"/>
          <w:sz w:val="36"/>
          <w:szCs w:val="36"/>
        </w:rPr>
        <w:t>Altre pubblicazioni</w:t>
      </w:r>
    </w:p>
    <w:p w:rsidR="00BD1818" w:rsidRPr="00BD1818" w:rsidRDefault="00BD1818" w:rsidP="00BD1818">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proofErr w:type="gramStart"/>
      <w:r w:rsidRPr="00BD1818">
        <w:rPr>
          <w:rFonts w:ascii="Helvetica Neue" w:eastAsia="Times New Roman" w:hAnsi="Helvetica Neue" w:cs="Times New Roman"/>
          <w:color w:val="333333"/>
          <w:sz w:val="21"/>
          <w:szCs w:val="21"/>
        </w:rPr>
        <w:t>Abstract</w:t>
      </w:r>
      <w:proofErr w:type="gramEnd"/>
      <w:r w:rsidRPr="00BD1818">
        <w:rPr>
          <w:rFonts w:ascii="Helvetica Neue" w:eastAsia="Times New Roman" w:hAnsi="Helvetica Neue" w:cs="Times New Roman"/>
          <w:color w:val="333333"/>
          <w:sz w:val="21"/>
          <w:szCs w:val="21"/>
        </w:rPr>
        <w:t xml:space="preserve"> in atti del XXXVI Convegno Amases </w:t>
      </w:r>
      <w:r w:rsidRPr="00BD1818">
        <w:rPr>
          <w:rFonts w:ascii="Helvetica Neue" w:eastAsia="Times New Roman" w:hAnsi="Helvetica Neue" w:cs="Times New Roman"/>
          <w:i/>
          <w:iCs/>
          <w:color w:val="333333"/>
          <w:sz w:val="21"/>
          <w:szCs w:val="21"/>
        </w:rPr>
        <w:t>On a dynamic competitive equilibrium by a quasi-variational approach </w:t>
      </w:r>
      <w:r w:rsidRPr="00BD1818">
        <w:rPr>
          <w:rFonts w:ascii="Helvetica Neue" w:eastAsia="Times New Roman" w:hAnsi="Helvetica Neue" w:cs="Times New Roman"/>
          <w:color w:val="333333"/>
          <w:sz w:val="21"/>
          <w:szCs w:val="21"/>
        </w:rPr>
        <w:t>presentato il 15.09.2012 a Vieste.</w:t>
      </w:r>
    </w:p>
    <w:p w:rsidR="00BD1818" w:rsidRPr="00BD1818" w:rsidRDefault="00BD1818" w:rsidP="00BD1818">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proofErr w:type="gramStart"/>
      <w:r w:rsidRPr="00BD1818">
        <w:rPr>
          <w:rFonts w:ascii="Helvetica Neue" w:eastAsia="Times New Roman" w:hAnsi="Helvetica Neue" w:cs="Times New Roman"/>
          <w:color w:val="333333"/>
          <w:sz w:val="21"/>
          <w:szCs w:val="21"/>
        </w:rPr>
        <w:t>Abstract</w:t>
      </w:r>
      <w:proofErr w:type="gramEnd"/>
      <w:r w:rsidRPr="00BD1818">
        <w:rPr>
          <w:rFonts w:ascii="Helvetica Neue" w:eastAsia="Times New Roman" w:hAnsi="Helvetica Neue" w:cs="Times New Roman"/>
          <w:color w:val="333333"/>
          <w:sz w:val="21"/>
          <w:szCs w:val="21"/>
        </w:rPr>
        <w:t xml:space="preserve"> in 1° Gran Galà della Ricerca </w:t>
      </w:r>
      <w:r w:rsidRPr="00BD1818">
        <w:rPr>
          <w:rFonts w:ascii="Helvetica Neue" w:eastAsia="Times New Roman" w:hAnsi="Helvetica Neue" w:cs="Times New Roman"/>
          <w:i/>
          <w:iCs/>
          <w:color w:val="333333"/>
          <w:sz w:val="21"/>
          <w:szCs w:val="21"/>
        </w:rPr>
        <w:t>Notes on the dynamic competitive equilibrium by a quasi-variational approach </w:t>
      </w:r>
      <w:r w:rsidRPr="00BD1818">
        <w:rPr>
          <w:rFonts w:ascii="Helvetica Neue" w:eastAsia="Times New Roman" w:hAnsi="Helvetica Neue" w:cs="Times New Roman"/>
          <w:color w:val="333333"/>
          <w:sz w:val="21"/>
          <w:szCs w:val="21"/>
        </w:rPr>
        <w:t>presentato il 13.03.2013 a Catanzaro presso l’anfiteatro Casalinuovo.</w:t>
      </w:r>
    </w:p>
    <w:p w:rsidR="00BD1818" w:rsidRPr="00BD1818" w:rsidRDefault="00BD1818" w:rsidP="00BD1818">
      <w:pPr>
        <w:numPr>
          <w:ilvl w:val="0"/>
          <w:numId w:val="3"/>
        </w:numPr>
        <w:shd w:val="clear" w:color="auto" w:fill="FFFFFF"/>
        <w:spacing w:before="100" w:beforeAutospacing="1" w:after="100" w:afterAutospacing="1"/>
        <w:rPr>
          <w:rFonts w:ascii="Helvetica Neue" w:eastAsia="Times New Roman" w:hAnsi="Helvetica Neue" w:cs="Times New Roman"/>
          <w:color w:val="333333"/>
          <w:sz w:val="21"/>
          <w:szCs w:val="21"/>
        </w:rPr>
      </w:pPr>
      <w:r w:rsidRPr="00BD1818">
        <w:rPr>
          <w:rFonts w:ascii="Helvetica Neue" w:eastAsia="Times New Roman" w:hAnsi="Helvetica Neue" w:cs="Times New Roman"/>
          <w:i/>
          <w:iCs/>
          <w:color w:val="333333"/>
          <w:sz w:val="21"/>
          <w:szCs w:val="21"/>
        </w:rPr>
        <w:t xml:space="preserve">Teaching Hospital performance: toward a </w:t>
      </w:r>
      <w:proofErr w:type="gramStart"/>
      <w:r w:rsidRPr="00BD1818">
        <w:rPr>
          <w:rFonts w:ascii="Helvetica Neue" w:eastAsia="Times New Roman" w:hAnsi="Helvetica Neue" w:cs="Times New Roman"/>
          <w:i/>
          <w:iCs/>
          <w:color w:val="333333"/>
          <w:sz w:val="21"/>
          <w:szCs w:val="21"/>
        </w:rPr>
        <w:t>community</w:t>
      </w:r>
      <w:proofErr w:type="gramEnd"/>
      <w:r w:rsidRPr="00BD1818">
        <w:rPr>
          <w:rFonts w:ascii="Helvetica Neue" w:eastAsia="Times New Roman" w:hAnsi="Helvetica Neue" w:cs="Times New Roman"/>
          <w:i/>
          <w:iCs/>
          <w:color w:val="333333"/>
          <w:sz w:val="21"/>
          <w:szCs w:val="21"/>
        </w:rPr>
        <w:t xml:space="preserve"> of shared values?,</w:t>
      </w:r>
      <w:r w:rsidRPr="00BD1818">
        <w:rPr>
          <w:rFonts w:ascii="Helvetica Neue" w:eastAsia="Times New Roman" w:hAnsi="Helvetica Neue" w:cs="Times New Roman"/>
          <w:color w:val="333333"/>
          <w:sz w:val="21"/>
          <w:szCs w:val="21"/>
        </w:rPr>
        <w:t> (with M. Mauro, E. Cardamone, G. Cavallaro, E. Minvielle, C. Sicotte, A. Trotta) preprint submitted to Social Science &amp; Medicine.</w:t>
      </w:r>
    </w:p>
    <w:p w:rsidR="00BD1818" w:rsidRPr="00BD1818" w:rsidRDefault="00BD1818" w:rsidP="00BD1818">
      <w:pPr>
        <w:shd w:val="clear" w:color="auto" w:fill="FFFFFF"/>
        <w:rPr>
          <w:rFonts w:ascii="Helvetica Neue" w:eastAsia="Times New Roman" w:hAnsi="Helvetica Neue" w:cs="Times New Roman"/>
          <w:color w:val="333333"/>
          <w:sz w:val="21"/>
          <w:szCs w:val="21"/>
        </w:rPr>
      </w:pPr>
      <w:r w:rsidRPr="00BD1818">
        <w:rPr>
          <w:rFonts w:ascii="Helvetica Neue" w:eastAsia="Times New Roman" w:hAnsi="Helvetica Neue" w:cs="Times New Roman"/>
          <w:color w:val="333333"/>
          <w:sz w:val="21"/>
          <w:szCs w:val="21"/>
        </w:rPr>
        <w:br/>
      </w:r>
    </w:p>
    <w:p w:rsidR="00BD1818" w:rsidRPr="00BD1818" w:rsidRDefault="00BD1818" w:rsidP="00BD1818">
      <w:pPr>
        <w:rPr>
          <w:rFonts w:ascii="Times" w:eastAsia="Times New Roman" w:hAnsi="Times" w:cs="Times New Roman"/>
          <w:sz w:val="20"/>
          <w:szCs w:val="20"/>
        </w:rPr>
      </w:pPr>
      <w:r w:rsidRPr="00BD1818">
        <w:rPr>
          <w:rFonts w:ascii="Helvetica Neue" w:eastAsia="Times New Roman" w:hAnsi="Helvetica Neue" w:cs="Times New Roman"/>
          <w:color w:val="333333"/>
          <w:sz w:val="21"/>
          <w:szCs w:val="21"/>
        </w:rPr>
        <w:br/>
      </w:r>
      <w:r w:rsidRPr="00BD1818">
        <w:rPr>
          <w:rFonts w:ascii="Helvetica Neue" w:eastAsia="Times New Roman" w:hAnsi="Helvetica Neue" w:cs="Times New Roman"/>
          <w:color w:val="333333"/>
          <w:sz w:val="21"/>
          <w:szCs w:val="21"/>
        </w:rPr>
        <w:br/>
      </w:r>
    </w:p>
    <w:p w:rsidR="00F379A8" w:rsidRDefault="00F379A8">
      <w:bookmarkStart w:id="0" w:name="_GoBack"/>
      <w:bookmarkEnd w:id="0"/>
    </w:p>
    <w:sectPr w:rsidR="00F379A8" w:rsidSect="001C4A7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AB"/>
    <w:multiLevelType w:val="multilevel"/>
    <w:tmpl w:val="27AA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90EB1"/>
    <w:multiLevelType w:val="multilevel"/>
    <w:tmpl w:val="8D18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23B7E"/>
    <w:multiLevelType w:val="multilevel"/>
    <w:tmpl w:val="01C4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18"/>
    <w:rsid w:val="001C4A72"/>
    <w:rsid w:val="00BD1818"/>
    <w:rsid w:val="00F379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4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D1818"/>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BD1818"/>
    <w:rPr>
      <w:rFonts w:ascii="Times" w:hAnsi="Times"/>
      <w:b/>
      <w:bCs/>
      <w:sz w:val="27"/>
      <w:szCs w:val="27"/>
    </w:rPr>
  </w:style>
  <w:style w:type="paragraph" w:styleId="NormaleWeb">
    <w:name w:val="Normal (Web)"/>
    <w:basedOn w:val="Normale"/>
    <w:uiPriority w:val="99"/>
    <w:semiHidden/>
    <w:unhideWhenUsed/>
    <w:rsid w:val="00BD181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D1818"/>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BD1818"/>
    <w:rPr>
      <w:rFonts w:ascii="Times" w:hAnsi="Times"/>
      <w:b/>
      <w:bCs/>
      <w:sz w:val="27"/>
      <w:szCs w:val="27"/>
    </w:rPr>
  </w:style>
  <w:style w:type="paragraph" w:styleId="NormaleWeb">
    <w:name w:val="Normal (Web)"/>
    <w:basedOn w:val="Normale"/>
    <w:uiPriority w:val="99"/>
    <w:semiHidden/>
    <w:unhideWhenUsed/>
    <w:rsid w:val="00BD18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1959">
      <w:bodyDiv w:val="1"/>
      <w:marLeft w:val="0"/>
      <w:marRight w:val="0"/>
      <w:marTop w:val="0"/>
      <w:marBottom w:val="0"/>
      <w:divBdr>
        <w:top w:val="none" w:sz="0" w:space="0" w:color="auto"/>
        <w:left w:val="none" w:sz="0" w:space="0" w:color="auto"/>
        <w:bottom w:val="none" w:sz="0" w:space="0" w:color="auto"/>
        <w:right w:val="none" w:sz="0" w:space="0" w:color="auto"/>
      </w:divBdr>
      <w:divsChild>
        <w:div w:id="8032315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1675</Words>
  <Characters>9550</Characters>
  <Application>Microsoft Macintosh Word</Application>
  <DocSecurity>0</DocSecurity>
  <Lines>79</Lines>
  <Paragraphs>22</Paragraphs>
  <ScaleCrop>false</ScaleCrop>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1</cp:revision>
  <dcterms:created xsi:type="dcterms:W3CDTF">2019-02-22T11:11:00Z</dcterms:created>
  <dcterms:modified xsi:type="dcterms:W3CDTF">2019-02-22T11:11:00Z</dcterms:modified>
</cp:coreProperties>
</file>