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4E" w:rsidRPr="0046564E" w:rsidRDefault="0046564E" w:rsidP="0046564E">
      <w:pPr>
        <w:shd w:val="clear" w:color="auto" w:fill="FFFFFF"/>
        <w:spacing w:before="300" w:after="150"/>
        <w:outlineLvl w:val="1"/>
        <w:rPr>
          <w:rFonts w:ascii="Helvetica Neue" w:eastAsia="Times New Roman" w:hAnsi="Helvetica Neue" w:cs="Times New Roman"/>
          <w:color w:val="333333"/>
          <w:sz w:val="45"/>
          <w:szCs w:val="45"/>
        </w:rPr>
      </w:pPr>
      <w:r w:rsidRPr="0046564E">
        <w:rPr>
          <w:rFonts w:ascii="Helvetica Neue" w:eastAsia="Times New Roman" w:hAnsi="Helvetica Neue" w:cs="Times New Roman"/>
          <w:color w:val="333333"/>
          <w:sz w:val="45"/>
          <w:szCs w:val="45"/>
        </w:rPr>
        <w:t>Pubblicazioni scientifiche</w:t>
      </w:r>
    </w:p>
    <w:p w:rsidR="0046564E" w:rsidRPr="0046564E" w:rsidRDefault="0046564E" w:rsidP="0046564E">
      <w:pPr>
        <w:shd w:val="clear" w:color="auto" w:fill="FFFFFF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</w:rPr>
        <w:t>1. 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Le immunità giurisdizionali dello Stato e dei suoi organi e l’evoluzione della sovranità nel diritto internazionale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</w:rPr>
        <w:t>, Wolters Kluwer/Cedam, 2018.  </w:t>
      </w:r>
    </w:p>
    <w:p w:rsidR="0046564E" w:rsidRPr="0046564E" w:rsidRDefault="0046564E" w:rsidP="0046564E">
      <w:pPr>
        <w:shd w:val="clear" w:color="auto" w:fill="FFFFFF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</w:rPr>
        <w:t>2. 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International Criminal Justice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</w:rPr>
        <w:t> 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(2016)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</w:rPr>
        <w:t>, in 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Italian Yearbook of International Law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</w:rPr>
        <w:t>, 2017, pp. 425-448.  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>3. 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 xml:space="preserve">La sentenza della Corte di giustizia </w:t>
      </w:r>
      <w:proofErr w:type="gramStart"/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dell’</w:t>
      </w:r>
      <w:proofErr w:type="gramEnd"/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Unione europea nel caso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</w:rPr>
        <w:t> Lounani 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e le controverse motivazioni giuridiche al fine di escludere lo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</w:rPr>
        <w:t> status 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di rifugiato per presunti terroristi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</w:rPr>
        <w:t>, in 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Rivista di diritto internazionale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</w:rPr>
        <w:t>, 2017, pp. 565-576.    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>4. 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 xml:space="preserve">La risoluzione del Consiglio di sicurezza delle Nazioni Unite n. 2249 (2015) e la legittimità dell’uso della forza contro </w:t>
      </w:r>
      <w:proofErr w:type="gramStart"/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l’ISIS</w:t>
      </w:r>
      <w:proofErr w:type="gramEnd"/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 xml:space="preserve"> in base al diritto internazionale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</w:rPr>
        <w:t>, in 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Diritti umani e diritto internazionale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</w:rPr>
        <w:t>, 2016, pp. 137-156.  </w:t>
      </w:r>
    </w:p>
    <w:p w:rsidR="0046564E" w:rsidRPr="0046564E" w:rsidRDefault="0046564E" w:rsidP="0046564E">
      <w:pPr>
        <w:rPr>
          <w:rFonts w:ascii="Times" w:eastAsia="Times New Roman" w:hAnsi="Times" w:cs="Times New Roman"/>
          <w:sz w:val="20"/>
          <w:szCs w:val="20"/>
        </w:rPr>
      </w:pP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5. 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La sentenza della Grande Camera della Corte europea nel caso 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Delfi AS c. Estonia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: la responsabilità degli 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Internet service providers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 xml:space="preserve"> tra obbligo di prevenire e </w:t>
      </w:r>
      <w:proofErr w:type="gramStart"/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obbligo</w:t>
      </w:r>
      <w:proofErr w:type="gramEnd"/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 xml:space="preserve"> di rimuovere commenti di terzi dal contenuto illecito, in Diritti umani e diritto internazionale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 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2015, pp. 681-689.  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6. 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State Immunity and the Right of Access to Court in the Recent Case Law of the European Court of Human Rights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, in C. Binder, </w:t>
      </w:r>
      <w:proofErr w:type="gramStart"/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K.</w:t>
      </w:r>
      <w:proofErr w:type="gramEnd"/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Lachmayer (eds.), 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The European Court of Human Rights and Public International Law. Fragmentation or Unity?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Druckhaus Nomos, Wien, 2014, pp. 65-91.   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7. 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La sentenza del Tribunale dell’Unione europea nel caso 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Issam Anbouba c. Consiglio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 e i limiti al potere delle istituzioni europee di adottare sanzioni economiche individuali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in 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Giurisprudenza costituzionale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2013, pp. 3912-3931.   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8.</w:t>
      </w:r>
      <w:proofErr w:type="gramStart"/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 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La definizione di terrorismo nel diritto internazionale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Napoli, Editoriale Scientifica, 2013</w:t>
      </w:r>
      <w:proofErr w:type="gramEnd"/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.   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9. 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Immunità degli Stati esteri e diritto di accesso al giudice: un nuovo approccio nel diritto internazionale</w:t>
      </w:r>
      <w:proofErr w:type="gramStart"/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?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</w:t>
      </w:r>
      <w:proofErr w:type="gramEnd"/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in 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Rivista di diritto internazionale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2013, pp. 812-846.   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10. 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La sentenza della Corte europea dei diritti umani nel caso 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Mouvement Raëlien Suisse c. Svizzera: 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verso il riconoscimento di un diritto di censura</w:t>
      </w:r>
      <w:proofErr w:type="gramStart"/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?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</w:t>
      </w:r>
      <w:proofErr w:type="gramEnd"/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in 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Diritti umani e diritto internazionale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2012,</w:t>
      </w:r>
      <w:r w:rsidRPr="0046564E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shd w:val="clear" w:color="auto" w:fill="FFFFFF"/>
        </w:rPr>
        <w:t> 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pp. 657-663. </w:t>
      </w:r>
      <w:r w:rsidRPr="0046564E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shd w:val="clear" w:color="auto" w:fill="FFFFFF"/>
        </w:rPr>
        <w:t> 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 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11. 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 xml:space="preserve">The Notion of “Jurisdiction” in Article </w:t>
      </w:r>
      <w:proofErr w:type="gramStart"/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1</w:t>
      </w:r>
      <w:proofErr w:type="gramEnd"/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: Future Scenarios for the Extra-Territorial Application of the European Convention on Human Rights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in 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Italian Yearbook of International Law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2011, pp. 11-30. </w:t>
      </w:r>
      <w:r w:rsidRPr="0046564E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shd w:val="clear" w:color="auto" w:fill="FFFFFF"/>
        </w:rPr>
        <w:t> 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 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12. 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I casi Al-Skeini e Al-Jedda dinanzi alla Corte europea dei diritti umani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in 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 xml:space="preserve">Diritti </w:t>
      </w:r>
      <w:proofErr w:type="gramStart"/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umani</w:t>
      </w:r>
      <w:proofErr w:type="gramEnd"/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 xml:space="preserve"> e Diritto internazionale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2011, pp. 616-621.   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13. 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 xml:space="preserve">The Margin of Appreciation Doctrine and </w:t>
      </w:r>
      <w:proofErr w:type="gramStart"/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the</w:t>
      </w:r>
      <w:proofErr w:type="gramEnd"/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 xml:space="preserve"> Case-Law of the European Court of Human Rights on the Islamic Veil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in 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Human Rights Review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2010, pp. 531-564.   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14. 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Applying the Law of State Responsibility to Military Counter-Terrorist Actions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in M. Szabó (Ed.), 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State Responsibility and the Law of Treaties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Eleven International Publishing, 2010, pp. 121-142.   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15.</w:t>
      </w:r>
      <w:proofErr w:type="gramStart"/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 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La disciplina dei militari impegnati all’estero in missioni umanitarie: in margine al caso 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Lozano, in 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Diritti umani e Diritto internazional</w:t>
      </w:r>
      <w:proofErr w:type="gramEnd"/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e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2009, pp. 565-590.   16.</w:t>
      </w:r>
      <w:proofErr w:type="gramStart"/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  </w:t>
      </w:r>
      <w:proofErr w:type="gramEnd"/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 xml:space="preserve">Terrorismo internazionale e resistenza all’occupazione straniera. </w:t>
      </w:r>
      <w:proofErr w:type="gramStart"/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Le sentenze dei giudici italiani nel caso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 Daki, in “900”, 2009, pp. 207-218</w:t>
      </w:r>
      <w:proofErr w:type="gramEnd"/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.   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16. 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 xml:space="preserve">La nozione di terrorismo internazionale nella prassi del Consiglio </w:t>
      </w:r>
      <w:proofErr w:type="gramStart"/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di</w:t>
      </w:r>
      <w:proofErr w:type="gramEnd"/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 xml:space="preserve"> Sicurezza delle Nazioni Unite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in 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Atti del V Incontro di Studio tra giovani cultori delle materie internazionalistiche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Milano, Giuffrè, 2008, pp. 197-217.   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br/>
        <w:t>17. 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 xml:space="preserve">Il margine di apprezzamento statale nella giurisprudenza della Corte europea dei diritti </w:t>
      </w:r>
      <w:proofErr w:type="gramStart"/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dell’</w:t>
      </w:r>
      <w:proofErr w:type="gramEnd"/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uomo sul velo islamico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in 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Diritti umani e Diritto internazionale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2008, pp. 71-105.   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18. 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Lo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 jus cogens 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nella prassi internazionale più re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cente, in C. Focarelli (a cura di), 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Le nuove frontiere del diritto internazionale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.</w:t>
      </w:r>
      <w:proofErr w:type="gramStart"/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 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Attori non statali, spazio virtuale, valori fondamentali e governo multinazionale di territori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Perugia, Morlacchi Editore, 2008, pp. 119-1</w:t>
      </w:r>
      <w:proofErr w:type="gramEnd"/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43. 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19. 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 xml:space="preserve">Il caso Al Skeini dinanzi </w:t>
      </w:r>
      <w:proofErr w:type="gramStart"/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alla </w:t>
      </w:r>
      <w:proofErr w:type="gramEnd"/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House of Lords e la nozione di giurisdizione nella Convenzione europea dei diritti dell’uomo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in 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Rivista di diritto internazionale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2007, pp. 1106-1115.   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20. 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The Case-Law of Criminal International and Hybrid Tribunals in the Two-Year Period 2005-2006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 (C. Focarelli with the cooperation of R. Nigro e altri), in 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Comunicazioni e Studi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2007, vol. XXIII, pp. 565-670.   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br/>
        <w:t>21.</w:t>
      </w:r>
      <w:proofErr w:type="gramStart"/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 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La gestione civile e militare delle crisi da parte dell’Unione europea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 (capitolo 5), in F. Raspadori, con la collaborazione di Raffaella Ni</w:t>
      </w:r>
      <w:proofErr w:type="gramEnd"/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gro, 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La Politica estera dell’Unione europea: istituzioni e strumenti di pace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Perugia, Morlacchi Editore, 2007, pp. 165-176. </w:t>
      </w:r>
      <w:r w:rsidRPr="0046564E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shd w:val="clear" w:color="auto" w:fill="FFFFFF"/>
        </w:rPr>
        <w:t> 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 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lastRenderedPageBreak/>
        <w:t>22. 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Le missioni dell’Unione europea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 (capitolo 6), in F. Raspadori, con la collaborazione di Raffaella Nigro, 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La Politica estera dell’Unione europea: istituzioni e strumenti di pace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Perugia, Morlacchi Editore, 2007, pp. 177-194. </w:t>
      </w:r>
      <w:r w:rsidRPr="0046564E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shd w:val="clear" w:color="auto" w:fill="FFFFFF"/>
        </w:rPr>
        <w:t> </w:t>
      </w:r>
      <w:r w:rsidRPr="0046564E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shd w:val="clear" w:color="auto" w:fill="FFFFFF"/>
        </w:rPr>
        <w:br/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23.</w:t>
      </w:r>
      <w:proofErr w:type="gramStart"/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 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Le sentenze dei giudici italiani nel caso Daki e la prassi sulle organizzazioni terroristiche “sopranazionali”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in 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In</w:t>
      </w:r>
      <w:proofErr w:type="gramEnd"/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.Law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2006, pp. 57-65.  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24.</w:t>
      </w:r>
      <w:proofErr w:type="gramStart"/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 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Il Consiglio di Pace e Sicurezza e il sistema di sicurezza collettiva nell’Unione Africana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in 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In</w:t>
      </w:r>
      <w:proofErr w:type="gramEnd"/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.Law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2006, pp. 7-13.  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br/>
        <w:t>25. 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Giurisdizione e obblighi positivi degli Stati parti alla Convenzione europea dei diritti dell’uomo: il caso Ilascu, 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in 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Rivista di diritto internazionale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2005, pp. 413-440.   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br/>
        <w:t>26. 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 xml:space="preserve">Autodeterminazione dei popoli e terrorismo globale. </w:t>
      </w:r>
      <w:proofErr w:type="gramStart"/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A proposito della definizione giuridica di terrorismo internazionale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in 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In</w:t>
      </w:r>
      <w:proofErr w:type="gramEnd"/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.Law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2005, pp. 5-8.   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27. 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Corte Penale Internazionale e accordi bilaterali diretti a precludere agli Stati parti la consegna di presunti criminali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in 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La Comunità Internazionale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2003, pp. 619-638. </w:t>
      </w:r>
      <w:r w:rsidRPr="0046564E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shd w:val="clear" w:color="auto" w:fill="FFFFFF"/>
        </w:rPr>
        <w:t> 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 </w:t>
      </w:r>
      <w:r w:rsidRPr="0046564E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shd w:val="clear" w:color="auto" w:fill="FFFFFF"/>
        </w:rPr>
        <w:t> 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 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46564E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shd w:val="clear" w:color="auto" w:fill="FFFFFF"/>
        </w:rPr>
        <w:br/>
        <w:t>Recensioni</w:t>
      </w:r>
      <w:proofErr w:type="gramStart"/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     </w:t>
      </w:r>
      <w:proofErr w:type="gramEnd"/>
      <w:r w:rsidRPr="0046564E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br/>
        <w:t xml:space="preserve">1) Recensione a </w:t>
      </w:r>
      <w:proofErr w:type="gramStart"/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J.</w:t>
      </w:r>
      <w:proofErr w:type="gramEnd"/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Quickly, 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 xml:space="preserve">The Genocide Convention. </w:t>
      </w:r>
      <w:proofErr w:type="gramStart"/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An International Law Analysis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 (Ashgate, 2006), in 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Italian Yearbook of International Law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2008, pp. 443-446</w:t>
      </w:r>
      <w:proofErr w:type="gramEnd"/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.   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br/>
        <w:t xml:space="preserve">2) Recensione a </w:t>
      </w:r>
      <w:proofErr w:type="gramStart"/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T.</w:t>
      </w:r>
      <w:proofErr w:type="gramEnd"/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Becker, 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Terrorism and the State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. </w:t>
      </w:r>
      <w:proofErr w:type="gramStart"/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Rethinking the Rules of State Responsibility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Hart Publishing, Oxford and Portland (Oregon, 2006), in 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Italian Yearbook of International Law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</w:t>
      </w:r>
      <w:proofErr w:type="gramEnd"/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2007, pp. 459-465.</w:t>
      </w:r>
      <w:r w:rsidRPr="0046564E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shd w:val="clear" w:color="auto" w:fill="FFFFFF"/>
        </w:rPr>
        <w:t> 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  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br/>
        <w:t>3) Recensione a D. Sarooshi, 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International Organizations and Their Exercise of Sovereign Powers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in 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In.</w:t>
      </w:r>
      <w:proofErr w:type="gramStart"/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Law</w:t>
      </w:r>
      <w:proofErr w:type="gramEnd"/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2006, pp. 128-133.   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4) Recensione a Jack L. Goldsmith, Eric A. Posner, 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The Limits of International Law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(Oxford 2005), in </w:t>
      </w:r>
      <w:r w:rsidRPr="004656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Italian Yearbook of International Law</w:t>
      </w:r>
      <w:r w:rsidRPr="0046564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2006, pp. 451-455.</w:t>
      </w:r>
    </w:p>
    <w:p w:rsidR="00F379A8" w:rsidRDefault="00F379A8">
      <w:bookmarkStart w:id="0" w:name="_GoBack"/>
      <w:bookmarkEnd w:id="0"/>
    </w:p>
    <w:sectPr w:rsidR="00F379A8" w:rsidSect="001C4A7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9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4E"/>
    <w:rsid w:val="001C4A72"/>
    <w:rsid w:val="0046564E"/>
    <w:rsid w:val="00F3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834D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6564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46564E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6564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46564E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921</Words>
  <Characters>5250</Characters>
  <Application>Microsoft Macintosh Word</Application>
  <DocSecurity>0</DocSecurity>
  <Lines>43</Lines>
  <Paragraphs>12</Paragraphs>
  <ScaleCrop>false</ScaleCrop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</dc:creator>
  <cp:keywords/>
  <dc:description/>
  <cp:lastModifiedBy>Macintosh</cp:lastModifiedBy>
  <cp:revision>1</cp:revision>
  <dcterms:created xsi:type="dcterms:W3CDTF">2019-02-22T09:02:00Z</dcterms:created>
  <dcterms:modified xsi:type="dcterms:W3CDTF">2019-02-22T09:02:00Z</dcterms:modified>
</cp:coreProperties>
</file>