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D1" w:rsidRPr="009D23D1" w:rsidRDefault="00175AD1" w:rsidP="00175AD1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D23D1">
        <w:rPr>
          <w:rFonts w:ascii="Garamond" w:hAnsi="Garamond"/>
          <w:b/>
          <w:bCs/>
          <w:sz w:val="28"/>
          <w:szCs w:val="28"/>
        </w:rPr>
        <w:t>Pubblicazioni</w:t>
      </w:r>
    </w:p>
    <w:p w:rsidR="00175AD1" w:rsidRPr="009D23D1" w:rsidRDefault="00175AD1" w:rsidP="00175AD1">
      <w:pPr>
        <w:pStyle w:val="Eaoaeaa"/>
        <w:widowControl/>
        <w:spacing w:before="20" w:after="20"/>
        <w:jc w:val="both"/>
        <w:rPr>
          <w:rFonts w:ascii="Garamond" w:hAnsi="Garamond" w:cs="Arial Narrow"/>
          <w:sz w:val="24"/>
          <w:szCs w:val="24"/>
          <w:lang w:val="it-IT"/>
        </w:rPr>
      </w:pPr>
      <w:r w:rsidRPr="009D23D1">
        <w:rPr>
          <w:rFonts w:ascii="Garamond" w:hAnsi="Garamond" w:cs="Arial Narrow"/>
          <w:sz w:val="24"/>
          <w:szCs w:val="24"/>
          <w:lang w:val="it-IT"/>
        </w:rPr>
        <w:t>- “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Presupposti per l’attribuzione e canoni per la quantificazione dell’assegno di mantenimento”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, in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Il diritto di famiglia e delle persone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,  Editore </w:t>
      </w:r>
      <w:proofErr w:type="spellStart"/>
      <w:r w:rsidRPr="009D23D1">
        <w:rPr>
          <w:rFonts w:ascii="Garamond" w:hAnsi="Garamond" w:cs="Arial Narrow"/>
          <w:sz w:val="24"/>
          <w:szCs w:val="24"/>
          <w:lang w:val="it-IT"/>
        </w:rPr>
        <w:t>Giuffrè</w:t>
      </w:r>
      <w:proofErr w:type="spellEnd"/>
      <w:r w:rsidRPr="009D23D1">
        <w:rPr>
          <w:rFonts w:ascii="Garamond" w:hAnsi="Garamond" w:cs="Arial Narrow"/>
          <w:sz w:val="24"/>
          <w:szCs w:val="24"/>
          <w:lang w:val="it-IT"/>
        </w:rPr>
        <w:t>, 2004, n. 2</w:t>
      </w:r>
      <w:r>
        <w:rPr>
          <w:rFonts w:ascii="Garamond" w:hAnsi="Garamond" w:cs="Arial Narrow"/>
          <w:sz w:val="24"/>
          <w:szCs w:val="24"/>
          <w:lang w:val="it-IT"/>
        </w:rPr>
        <w:t>, 373 - 395</w:t>
      </w:r>
      <w:r w:rsidRPr="009D23D1">
        <w:rPr>
          <w:rFonts w:ascii="Garamond" w:hAnsi="Garamond" w:cs="Arial Narrow"/>
          <w:sz w:val="24"/>
          <w:szCs w:val="24"/>
          <w:lang w:val="it-IT"/>
        </w:rPr>
        <w:t>.</w:t>
      </w:r>
    </w:p>
    <w:p w:rsidR="00175AD1" w:rsidRPr="009D23D1" w:rsidRDefault="00175AD1" w:rsidP="00175AD1">
      <w:pPr>
        <w:pStyle w:val="Eaoaeaa"/>
        <w:widowControl/>
        <w:spacing w:before="20" w:after="20"/>
        <w:jc w:val="both"/>
        <w:rPr>
          <w:rFonts w:ascii="Garamond" w:hAnsi="Garamond" w:cs="Arial Narrow"/>
          <w:i/>
          <w:iCs/>
          <w:sz w:val="24"/>
          <w:szCs w:val="24"/>
          <w:lang w:val="it-IT"/>
        </w:rPr>
      </w:pPr>
      <w:r w:rsidRPr="009D23D1">
        <w:rPr>
          <w:rFonts w:ascii="Garamond" w:hAnsi="Garamond" w:cs="Arial Narrow"/>
          <w:sz w:val="24"/>
          <w:szCs w:val="24"/>
          <w:lang w:val="it-IT"/>
        </w:rPr>
        <w:t xml:space="preserve">-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“Convivenza fuori dal matrimonio: profili di disciplina nel diritto europeo”,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 in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Il diritto di famiglia e delle persone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, Editore </w:t>
      </w:r>
      <w:proofErr w:type="spellStart"/>
      <w:r w:rsidRPr="009D23D1">
        <w:rPr>
          <w:rFonts w:ascii="Garamond" w:hAnsi="Garamond" w:cs="Arial Narrow"/>
          <w:sz w:val="24"/>
          <w:szCs w:val="24"/>
          <w:lang w:val="it-IT"/>
        </w:rPr>
        <w:t>Giuffrè</w:t>
      </w:r>
      <w:proofErr w:type="spellEnd"/>
      <w:r w:rsidRPr="009D23D1">
        <w:rPr>
          <w:rFonts w:ascii="Garamond" w:hAnsi="Garamond" w:cs="Arial Narrow"/>
          <w:sz w:val="24"/>
          <w:szCs w:val="24"/>
          <w:lang w:val="it-IT"/>
        </w:rPr>
        <w:t>, 2006, n. 1</w:t>
      </w:r>
      <w:r>
        <w:rPr>
          <w:rFonts w:ascii="Garamond" w:hAnsi="Garamond" w:cs="Arial Narrow"/>
          <w:sz w:val="24"/>
          <w:szCs w:val="24"/>
          <w:lang w:val="it-IT"/>
        </w:rPr>
        <w:t>, 349 - 384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.</w:t>
      </w:r>
    </w:p>
    <w:p w:rsidR="00175AD1" w:rsidRPr="009D23D1" w:rsidRDefault="00175AD1" w:rsidP="00175AD1">
      <w:pPr>
        <w:pStyle w:val="Eaoaeaa"/>
        <w:widowControl/>
        <w:spacing w:before="20" w:after="20"/>
        <w:jc w:val="both"/>
        <w:rPr>
          <w:rFonts w:ascii="Garamond" w:hAnsi="Garamond" w:cs="Arial Narrow"/>
          <w:sz w:val="24"/>
          <w:szCs w:val="24"/>
          <w:lang w:val="it-IT"/>
        </w:rPr>
      </w:pPr>
      <w:r w:rsidRPr="009D23D1">
        <w:rPr>
          <w:rFonts w:ascii="Garamond" w:hAnsi="Garamond" w:cs="Arial Narrow"/>
          <w:sz w:val="24"/>
          <w:szCs w:val="24"/>
          <w:lang w:val="it-IT"/>
        </w:rPr>
        <w:t>- “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Obbligazione naturale e contratti di convivenza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 more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 xml:space="preserve"> </w:t>
      </w:r>
      <w:r w:rsidRPr="009D23D1">
        <w:rPr>
          <w:rFonts w:ascii="Garamond" w:hAnsi="Garamond" w:cs="Arial Narrow"/>
          <w:sz w:val="24"/>
          <w:szCs w:val="24"/>
          <w:lang w:val="it-IT"/>
        </w:rPr>
        <w:t>uxorio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”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  nel volume MEMMO D. (a cura di), “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>Diritto privato tra libertà e mercato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”, Casa Editrice </w:t>
      </w:r>
      <w:proofErr w:type="spellStart"/>
      <w:r w:rsidRPr="009D23D1">
        <w:rPr>
          <w:rFonts w:ascii="Garamond" w:hAnsi="Garamond" w:cs="Arial Narrow"/>
          <w:sz w:val="24"/>
          <w:szCs w:val="24"/>
          <w:lang w:val="it-IT"/>
        </w:rPr>
        <w:t>Bononia</w:t>
      </w:r>
      <w:proofErr w:type="spellEnd"/>
      <w:r w:rsidRPr="009D23D1">
        <w:rPr>
          <w:rFonts w:ascii="Garamond" w:hAnsi="Garamond" w:cs="Arial Narrow"/>
          <w:sz w:val="24"/>
          <w:szCs w:val="24"/>
          <w:lang w:val="it-IT"/>
        </w:rPr>
        <w:t xml:space="preserve"> </w:t>
      </w:r>
      <w:proofErr w:type="spellStart"/>
      <w:r w:rsidRPr="009D23D1">
        <w:rPr>
          <w:rFonts w:ascii="Garamond" w:hAnsi="Garamond" w:cs="Arial Narrow"/>
          <w:sz w:val="24"/>
          <w:szCs w:val="24"/>
          <w:lang w:val="it-IT"/>
        </w:rPr>
        <w:t>University</w:t>
      </w:r>
      <w:proofErr w:type="spellEnd"/>
      <w:r w:rsidRPr="009D23D1">
        <w:rPr>
          <w:rFonts w:ascii="Garamond" w:hAnsi="Garamond" w:cs="Arial Narrow"/>
          <w:sz w:val="24"/>
          <w:szCs w:val="24"/>
          <w:lang w:val="it-IT"/>
        </w:rPr>
        <w:t xml:space="preserve"> Press, 2006</w:t>
      </w:r>
      <w:r>
        <w:rPr>
          <w:rFonts w:ascii="Garamond" w:hAnsi="Garamond" w:cs="Arial Narrow"/>
          <w:sz w:val="24"/>
          <w:szCs w:val="24"/>
          <w:lang w:val="it-IT"/>
        </w:rPr>
        <w:t>, 143 - 153</w:t>
      </w:r>
      <w:r w:rsidRPr="009D23D1">
        <w:rPr>
          <w:rFonts w:ascii="Garamond" w:hAnsi="Garamond" w:cs="Arial Narrow"/>
          <w:sz w:val="24"/>
          <w:szCs w:val="24"/>
          <w:lang w:val="it-IT"/>
        </w:rPr>
        <w:t>.</w:t>
      </w:r>
    </w:p>
    <w:p w:rsidR="00175AD1" w:rsidRPr="009D23D1" w:rsidRDefault="00175AD1" w:rsidP="00175AD1">
      <w:pPr>
        <w:pStyle w:val="Eaoaeaa"/>
        <w:widowControl/>
        <w:spacing w:before="20" w:after="20"/>
        <w:jc w:val="both"/>
        <w:rPr>
          <w:rFonts w:ascii="Garamond" w:hAnsi="Garamond" w:cs="Arial Narrow"/>
          <w:sz w:val="24"/>
          <w:szCs w:val="24"/>
          <w:lang w:val="it-IT"/>
        </w:rPr>
      </w:pPr>
      <w:r w:rsidRPr="009D23D1">
        <w:rPr>
          <w:rFonts w:ascii="Garamond" w:hAnsi="Garamond" w:cs="Arial Narrow"/>
          <w:sz w:val="24"/>
          <w:szCs w:val="24"/>
          <w:lang w:val="it-IT"/>
        </w:rPr>
        <w:t xml:space="preserve">-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 xml:space="preserve">“Le </w:t>
      </w:r>
      <w:proofErr w:type="spellStart"/>
      <w:r w:rsidRPr="009D23D1">
        <w:rPr>
          <w:rFonts w:ascii="Garamond" w:hAnsi="Garamond" w:cs="Arial Narrow"/>
          <w:sz w:val="24"/>
          <w:szCs w:val="24"/>
          <w:lang w:val="it-IT"/>
        </w:rPr>
        <w:t>stepfamilies</w:t>
      </w:r>
      <w:proofErr w:type="spellEnd"/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 xml:space="preserve"> ed il danno per la perdita del rapporto parentale”, </w:t>
      </w:r>
      <w:r w:rsidRPr="009D23D1">
        <w:rPr>
          <w:rFonts w:ascii="Garamond" w:hAnsi="Garamond" w:cs="Arial Narrow"/>
          <w:sz w:val="24"/>
          <w:szCs w:val="24"/>
          <w:lang w:val="it-IT"/>
        </w:rPr>
        <w:t xml:space="preserve">in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 xml:space="preserve">Famiglia e diritto, </w:t>
      </w:r>
      <w:r w:rsidRPr="009D23D1">
        <w:rPr>
          <w:rFonts w:ascii="Garamond" w:hAnsi="Garamond" w:cs="Arial Narrow"/>
          <w:sz w:val="24"/>
          <w:szCs w:val="24"/>
          <w:lang w:val="it-IT"/>
        </w:rPr>
        <w:t>Editore Ipsoa, 2007, n. 10</w:t>
      </w:r>
      <w:r>
        <w:rPr>
          <w:rFonts w:ascii="Garamond" w:hAnsi="Garamond" w:cs="Arial Narrow"/>
          <w:sz w:val="24"/>
          <w:szCs w:val="24"/>
          <w:lang w:val="it-IT"/>
        </w:rPr>
        <w:t>, 938 - 945</w:t>
      </w:r>
      <w:r w:rsidRPr="009D23D1">
        <w:rPr>
          <w:rFonts w:ascii="Garamond" w:hAnsi="Garamond" w:cs="Arial Narrow"/>
          <w:sz w:val="24"/>
          <w:szCs w:val="24"/>
          <w:lang w:val="it-IT"/>
        </w:rPr>
        <w:t>.</w:t>
      </w:r>
    </w:p>
    <w:p w:rsidR="00175AD1" w:rsidRPr="009D23D1" w:rsidRDefault="00175AD1" w:rsidP="00175AD1">
      <w:pPr>
        <w:pStyle w:val="Eaoaeaa"/>
        <w:widowControl/>
        <w:spacing w:before="20" w:after="20"/>
        <w:jc w:val="both"/>
        <w:rPr>
          <w:rFonts w:ascii="Garamond" w:hAnsi="Garamond" w:cs="Arial Narrow"/>
          <w:sz w:val="24"/>
          <w:szCs w:val="24"/>
          <w:lang w:val="it-IT"/>
        </w:rPr>
      </w:pPr>
      <w:r w:rsidRPr="009D23D1">
        <w:rPr>
          <w:rFonts w:ascii="Garamond" w:hAnsi="Garamond" w:cs="Arial Narrow"/>
          <w:sz w:val="24"/>
          <w:szCs w:val="24"/>
          <w:lang w:val="it-IT"/>
        </w:rPr>
        <w:t xml:space="preserve">- </w:t>
      </w:r>
      <w:r w:rsidRPr="009D23D1">
        <w:rPr>
          <w:rFonts w:ascii="Garamond" w:hAnsi="Garamond" w:cs="Arial Narrow"/>
          <w:i/>
          <w:iCs/>
          <w:sz w:val="24"/>
          <w:szCs w:val="24"/>
          <w:lang w:val="it-IT"/>
        </w:rPr>
        <w:t xml:space="preserve">“Gratuità e atipicità. Dall’adempimento dell’obbligazione naturale al contratto gratuito atipico”, </w:t>
      </w:r>
      <w:r w:rsidRPr="009D23D1">
        <w:rPr>
          <w:rFonts w:ascii="Garamond" w:hAnsi="Garamond" w:cs="Arial Narrow"/>
          <w:sz w:val="24"/>
          <w:szCs w:val="24"/>
          <w:lang w:val="it-IT"/>
        </w:rPr>
        <w:t>Editore Rubbettino, 2008.</w:t>
      </w:r>
    </w:p>
    <w:p w:rsidR="00175AD1" w:rsidRPr="00853669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Amagliani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R.-</w:t>
      </w:r>
      <w:proofErr w:type="spellEnd"/>
      <w:r>
        <w:rPr>
          <w:rFonts w:ascii="Garamond" w:hAnsi="Garamond"/>
          <w:sz w:val="24"/>
          <w:szCs w:val="24"/>
        </w:rPr>
        <w:t xml:space="preserve"> Cosco G., </w:t>
      </w:r>
      <w:r>
        <w:rPr>
          <w:rFonts w:ascii="Garamond" w:hAnsi="Garamond"/>
          <w:i/>
          <w:iCs/>
          <w:sz w:val="24"/>
          <w:szCs w:val="24"/>
        </w:rPr>
        <w:t>Art. 193 c.c.</w:t>
      </w:r>
      <w:r>
        <w:rPr>
          <w:rFonts w:ascii="Garamond" w:hAnsi="Garamond"/>
          <w:sz w:val="24"/>
          <w:szCs w:val="24"/>
        </w:rPr>
        <w:t xml:space="preserve">, in </w:t>
      </w:r>
      <w:r>
        <w:rPr>
          <w:rFonts w:ascii="Garamond" w:hAnsi="Garamond"/>
          <w:i/>
          <w:iCs/>
          <w:sz w:val="24"/>
          <w:szCs w:val="24"/>
        </w:rPr>
        <w:t>Della famiglia</w:t>
      </w:r>
      <w:r>
        <w:rPr>
          <w:rFonts w:ascii="Garamond" w:hAnsi="Garamond"/>
          <w:sz w:val="24"/>
          <w:szCs w:val="24"/>
        </w:rPr>
        <w:t xml:space="preserve">, a cura di L. Balestra, </w:t>
      </w:r>
      <w:r>
        <w:rPr>
          <w:rFonts w:ascii="Garamond" w:hAnsi="Garamond"/>
          <w:i/>
          <w:iCs/>
          <w:sz w:val="24"/>
          <w:szCs w:val="24"/>
        </w:rPr>
        <w:t>Commentario del codice civile</w:t>
      </w:r>
      <w:r>
        <w:rPr>
          <w:rFonts w:ascii="Garamond" w:hAnsi="Garamond"/>
          <w:sz w:val="24"/>
          <w:szCs w:val="24"/>
        </w:rPr>
        <w:t xml:space="preserve">, diretto da E. </w:t>
      </w:r>
      <w:proofErr w:type="spellStart"/>
      <w:r>
        <w:rPr>
          <w:rFonts w:ascii="Garamond" w:hAnsi="Garamond"/>
          <w:sz w:val="24"/>
          <w:szCs w:val="24"/>
        </w:rPr>
        <w:t>Gabrielli</w:t>
      </w:r>
      <w:proofErr w:type="spellEnd"/>
      <w:r>
        <w:rPr>
          <w:rFonts w:ascii="Garamond" w:hAnsi="Garamond"/>
          <w:sz w:val="24"/>
          <w:szCs w:val="24"/>
        </w:rPr>
        <w:t xml:space="preserve">, Utet, 2010, 201 - 213. 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i/>
          <w:iCs/>
          <w:sz w:val="24"/>
          <w:szCs w:val="24"/>
        </w:rPr>
        <w:t>“Le unioni omosessuali”</w:t>
      </w:r>
      <w:r>
        <w:rPr>
          <w:rFonts w:ascii="Garamond" w:hAnsi="Garamond"/>
          <w:sz w:val="24"/>
          <w:szCs w:val="24"/>
        </w:rPr>
        <w:t xml:space="preserve">, in </w:t>
      </w:r>
      <w:r>
        <w:rPr>
          <w:rFonts w:ascii="Garamond" w:hAnsi="Garamond"/>
          <w:i/>
          <w:iCs/>
          <w:sz w:val="24"/>
          <w:szCs w:val="24"/>
        </w:rPr>
        <w:t>Uccisione del congiunto, responsabilità familiare, affido, adozione. Trattato dei Nuovi Danni</w:t>
      </w:r>
      <w:r>
        <w:rPr>
          <w:rFonts w:ascii="Garamond" w:hAnsi="Garamond"/>
          <w:sz w:val="24"/>
          <w:szCs w:val="24"/>
        </w:rPr>
        <w:t xml:space="preserve">, vol. III,  diretto da P. </w:t>
      </w:r>
      <w:proofErr w:type="spellStart"/>
      <w:r>
        <w:rPr>
          <w:rFonts w:ascii="Garamond" w:hAnsi="Garamond"/>
          <w:sz w:val="24"/>
          <w:szCs w:val="24"/>
        </w:rPr>
        <w:t>Cendon</w:t>
      </w:r>
      <w:proofErr w:type="spellEnd"/>
      <w:r>
        <w:rPr>
          <w:rFonts w:ascii="Garamond" w:hAnsi="Garamond"/>
          <w:sz w:val="24"/>
          <w:szCs w:val="24"/>
        </w:rPr>
        <w:t xml:space="preserve">, Casa Editrice </w:t>
      </w:r>
      <w:proofErr w:type="spellStart"/>
      <w:r>
        <w:rPr>
          <w:rFonts w:ascii="Garamond" w:hAnsi="Garamond"/>
          <w:sz w:val="24"/>
          <w:szCs w:val="24"/>
        </w:rPr>
        <w:t>Cedam</w:t>
      </w:r>
      <w:proofErr w:type="spellEnd"/>
      <w:r>
        <w:rPr>
          <w:rFonts w:ascii="Garamond" w:hAnsi="Garamond"/>
          <w:sz w:val="24"/>
          <w:szCs w:val="24"/>
        </w:rPr>
        <w:t>, 2011, 35 - 49.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</w:t>
      </w:r>
      <w:r>
        <w:rPr>
          <w:rFonts w:ascii="Garamond" w:hAnsi="Garamond"/>
          <w:i/>
          <w:iCs/>
          <w:sz w:val="24"/>
          <w:szCs w:val="24"/>
        </w:rPr>
        <w:t>“Diritti e doveri dell’adottato”</w:t>
      </w:r>
      <w:r>
        <w:rPr>
          <w:rFonts w:ascii="Garamond" w:hAnsi="Garamond"/>
          <w:sz w:val="24"/>
          <w:szCs w:val="24"/>
        </w:rPr>
        <w:t xml:space="preserve">, in </w:t>
      </w:r>
      <w:r>
        <w:rPr>
          <w:rFonts w:ascii="Garamond" w:hAnsi="Garamond"/>
          <w:i/>
          <w:iCs/>
          <w:sz w:val="24"/>
          <w:szCs w:val="24"/>
        </w:rPr>
        <w:t>Uccisione del congiunto, responsabilità familiare, affido, adozione. Trattato dei Nuovi Danni</w:t>
      </w:r>
      <w:r>
        <w:rPr>
          <w:rFonts w:ascii="Garamond" w:hAnsi="Garamond"/>
          <w:sz w:val="24"/>
          <w:szCs w:val="24"/>
        </w:rPr>
        <w:t xml:space="preserve">, vol. III,  diretto da P. </w:t>
      </w:r>
      <w:proofErr w:type="spellStart"/>
      <w:r>
        <w:rPr>
          <w:rFonts w:ascii="Garamond" w:hAnsi="Garamond"/>
          <w:sz w:val="24"/>
          <w:szCs w:val="24"/>
        </w:rPr>
        <w:t>Cendon</w:t>
      </w:r>
      <w:proofErr w:type="spellEnd"/>
      <w:r>
        <w:rPr>
          <w:rFonts w:ascii="Garamond" w:hAnsi="Garamond"/>
          <w:sz w:val="24"/>
          <w:szCs w:val="24"/>
        </w:rPr>
        <w:t xml:space="preserve">, Casa Editrice </w:t>
      </w:r>
      <w:proofErr w:type="spellStart"/>
      <w:r>
        <w:rPr>
          <w:rFonts w:ascii="Garamond" w:hAnsi="Garamond"/>
          <w:sz w:val="24"/>
          <w:szCs w:val="24"/>
        </w:rPr>
        <w:t>Cedam</w:t>
      </w:r>
      <w:proofErr w:type="spellEnd"/>
      <w:r>
        <w:rPr>
          <w:rFonts w:ascii="Garamond" w:hAnsi="Garamond"/>
          <w:sz w:val="24"/>
          <w:szCs w:val="24"/>
        </w:rPr>
        <w:t>, 2011, 865 - 881.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 </w:t>
      </w:r>
      <w:r>
        <w:rPr>
          <w:rFonts w:ascii="Garamond" w:hAnsi="Garamond"/>
          <w:i/>
          <w:iCs/>
          <w:sz w:val="24"/>
          <w:szCs w:val="24"/>
        </w:rPr>
        <w:t>“Le unioni omosessuali e l’orientamento della Corte Costituzionale”</w:t>
      </w:r>
      <w:r>
        <w:rPr>
          <w:rFonts w:ascii="Garamond" w:hAnsi="Garamond"/>
          <w:sz w:val="24"/>
          <w:szCs w:val="24"/>
        </w:rPr>
        <w:t xml:space="preserve">, in </w:t>
      </w:r>
      <w:proofErr w:type="spellStart"/>
      <w:r>
        <w:rPr>
          <w:rFonts w:ascii="Garamond" w:hAnsi="Garamond"/>
          <w:i/>
          <w:iCs/>
          <w:sz w:val="24"/>
          <w:szCs w:val="24"/>
        </w:rPr>
        <w:t>Giust</w:t>
      </w:r>
      <w:proofErr w:type="spellEnd"/>
      <w:r>
        <w:rPr>
          <w:rFonts w:ascii="Garamond" w:hAnsi="Garamond"/>
          <w:i/>
          <w:iCs/>
          <w:sz w:val="24"/>
          <w:szCs w:val="24"/>
        </w:rPr>
        <w:t>. civ.</w:t>
      </w:r>
      <w:r>
        <w:rPr>
          <w:rFonts w:ascii="Garamond" w:hAnsi="Garamond"/>
          <w:sz w:val="24"/>
          <w:szCs w:val="24"/>
        </w:rPr>
        <w:t xml:space="preserve">, 2011, 4, 841 - 853. </w:t>
      </w:r>
    </w:p>
    <w:p w:rsidR="00175AD1" w:rsidRPr="00BA3518" w:rsidRDefault="00175AD1" w:rsidP="00175AD1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BA3518">
        <w:rPr>
          <w:rFonts w:ascii="Garamond" w:hAnsi="Garamond"/>
          <w:b/>
          <w:sz w:val="24"/>
          <w:szCs w:val="24"/>
        </w:rPr>
        <w:t xml:space="preserve">-   </w:t>
      </w:r>
      <w:r w:rsidRPr="00BA3518">
        <w:rPr>
          <w:rFonts w:ascii="Garamond" w:hAnsi="Garamond"/>
          <w:bCs/>
          <w:i/>
          <w:iCs/>
          <w:sz w:val="24"/>
          <w:szCs w:val="24"/>
        </w:rPr>
        <w:t>“Sistema delle patologie contrattuali e orientamenti attuali”</w:t>
      </w:r>
      <w:r w:rsidRPr="00BA3518">
        <w:rPr>
          <w:rFonts w:ascii="Garamond" w:hAnsi="Garamond"/>
          <w:bCs/>
          <w:sz w:val="24"/>
          <w:szCs w:val="24"/>
        </w:rPr>
        <w:t xml:space="preserve">, in </w:t>
      </w:r>
      <w:proofErr w:type="spellStart"/>
      <w:r w:rsidRPr="00BA3518">
        <w:rPr>
          <w:rFonts w:ascii="Garamond" w:hAnsi="Garamond"/>
          <w:bCs/>
          <w:i/>
          <w:iCs/>
          <w:sz w:val="24"/>
          <w:szCs w:val="24"/>
        </w:rPr>
        <w:t>Rass</w:t>
      </w:r>
      <w:proofErr w:type="spellEnd"/>
      <w:r w:rsidRPr="00BA3518">
        <w:rPr>
          <w:rFonts w:ascii="Garamond" w:hAnsi="Garamond"/>
          <w:bCs/>
          <w:i/>
          <w:iCs/>
          <w:sz w:val="24"/>
          <w:szCs w:val="24"/>
        </w:rPr>
        <w:t>. dir. civ.</w:t>
      </w:r>
      <w:r w:rsidRPr="00BA3518">
        <w:rPr>
          <w:rFonts w:ascii="Garamond" w:hAnsi="Garamond"/>
          <w:bCs/>
          <w:sz w:val="24"/>
          <w:szCs w:val="24"/>
        </w:rPr>
        <w:t>, 2011, 3</w:t>
      </w:r>
      <w:r>
        <w:rPr>
          <w:rFonts w:ascii="Garamond" w:hAnsi="Garamond"/>
          <w:bCs/>
          <w:sz w:val="24"/>
          <w:szCs w:val="24"/>
        </w:rPr>
        <w:t>, 673 - 723.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BA3518">
        <w:rPr>
          <w:rFonts w:ascii="Garamond" w:hAnsi="Garamond"/>
          <w:bCs/>
          <w:i/>
          <w:iCs/>
          <w:sz w:val="24"/>
          <w:szCs w:val="24"/>
        </w:rPr>
        <w:t>-  “L’incidenza delle clausole abusive e delle pratiche commerciali sleali sulla sorte del contratto individuale al vaglio della Corte di Giustizia”</w:t>
      </w:r>
      <w:r w:rsidRPr="00BA3518">
        <w:rPr>
          <w:rFonts w:ascii="Garamond" w:hAnsi="Garamond"/>
          <w:bCs/>
          <w:sz w:val="24"/>
          <w:szCs w:val="24"/>
        </w:rPr>
        <w:t xml:space="preserve">, in </w:t>
      </w:r>
      <w:r w:rsidRPr="00BA3518">
        <w:rPr>
          <w:rFonts w:ascii="Garamond" w:hAnsi="Garamond"/>
          <w:bCs/>
          <w:i/>
          <w:iCs/>
          <w:sz w:val="24"/>
          <w:szCs w:val="24"/>
        </w:rPr>
        <w:t xml:space="preserve">I Contratti, </w:t>
      </w:r>
      <w:r w:rsidRPr="00BA3518">
        <w:rPr>
          <w:rFonts w:ascii="Garamond" w:hAnsi="Garamond"/>
          <w:bCs/>
          <w:sz w:val="24"/>
          <w:szCs w:val="24"/>
        </w:rPr>
        <w:t>2012,</w:t>
      </w:r>
      <w:r>
        <w:rPr>
          <w:rFonts w:ascii="Garamond" w:hAnsi="Garamond"/>
          <w:bCs/>
          <w:sz w:val="24"/>
          <w:szCs w:val="24"/>
        </w:rPr>
        <w:t xml:space="preserve"> 661 – 678.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“</w:t>
      </w:r>
      <w:r w:rsidRPr="00B12782">
        <w:rPr>
          <w:rFonts w:ascii="Garamond" w:hAnsi="Garamond"/>
          <w:i/>
          <w:iCs/>
          <w:sz w:val="24"/>
          <w:szCs w:val="24"/>
        </w:rPr>
        <w:t>Principio di non discriminazione, autonomia del disabile ed esercizio dei diritti personalissimi</w:t>
      </w:r>
      <w:r>
        <w:rPr>
          <w:rFonts w:ascii="Garamond" w:hAnsi="Garamond"/>
          <w:i/>
          <w:iCs/>
          <w:sz w:val="24"/>
          <w:szCs w:val="24"/>
        </w:rPr>
        <w:t>”</w:t>
      </w:r>
      <w:r w:rsidRPr="00B12782">
        <w:rPr>
          <w:rFonts w:ascii="Garamond" w:hAnsi="Garamond"/>
          <w:sz w:val="24"/>
          <w:szCs w:val="24"/>
        </w:rPr>
        <w:t xml:space="preserve">, in AA.VV., </w:t>
      </w:r>
      <w:r w:rsidRPr="00B12782">
        <w:rPr>
          <w:rFonts w:ascii="Garamond" w:hAnsi="Garamond"/>
          <w:i/>
          <w:iCs/>
          <w:sz w:val="24"/>
          <w:szCs w:val="24"/>
        </w:rPr>
        <w:t xml:space="preserve">Tutela della persona e </w:t>
      </w:r>
      <w:proofErr w:type="spellStart"/>
      <w:r w:rsidRPr="00B12782">
        <w:rPr>
          <w:rFonts w:ascii="Garamond" w:hAnsi="Garamond"/>
          <w:i/>
          <w:iCs/>
          <w:sz w:val="24"/>
          <w:szCs w:val="24"/>
        </w:rPr>
        <w:t>disability</w:t>
      </w:r>
      <w:proofErr w:type="spellEnd"/>
      <w:r w:rsidRPr="00B12782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B12782">
        <w:rPr>
          <w:rFonts w:ascii="Garamond" w:hAnsi="Garamond"/>
          <w:i/>
          <w:iCs/>
          <w:sz w:val="24"/>
          <w:szCs w:val="24"/>
        </w:rPr>
        <w:t>studies</w:t>
      </w:r>
      <w:proofErr w:type="spellEnd"/>
      <w:r>
        <w:rPr>
          <w:rFonts w:ascii="Garamond" w:hAnsi="Garamond"/>
          <w:sz w:val="24"/>
          <w:szCs w:val="24"/>
        </w:rPr>
        <w:t xml:space="preserve">. Università Magna </w:t>
      </w:r>
      <w:proofErr w:type="spellStart"/>
      <w:r>
        <w:rPr>
          <w:rFonts w:ascii="Garamond" w:hAnsi="Garamond"/>
          <w:sz w:val="24"/>
          <w:szCs w:val="24"/>
        </w:rPr>
        <w:t>Græ</w:t>
      </w:r>
      <w:r w:rsidRPr="00B12782">
        <w:rPr>
          <w:rFonts w:ascii="Garamond" w:hAnsi="Garamond"/>
          <w:sz w:val="24"/>
          <w:szCs w:val="24"/>
        </w:rPr>
        <w:t>cia</w:t>
      </w:r>
      <w:proofErr w:type="spellEnd"/>
      <w:r w:rsidRPr="00B12782">
        <w:rPr>
          <w:rFonts w:ascii="Garamond" w:hAnsi="Garamond"/>
          <w:sz w:val="24"/>
          <w:szCs w:val="24"/>
        </w:rPr>
        <w:t xml:space="preserve"> di Catanzaro, 5 e 6 ottobre 2012, </w:t>
      </w:r>
      <w:proofErr w:type="spellStart"/>
      <w:r w:rsidRPr="00B12782">
        <w:rPr>
          <w:rFonts w:ascii="Garamond" w:hAnsi="Garamond"/>
          <w:sz w:val="24"/>
          <w:szCs w:val="24"/>
        </w:rPr>
        <w:t>Falzea</w:t>
      </w:r>
      <w:proofErr w:type="spellEnd"/>
      <w:r w:rsidRPr="00B12782">
        <w:rPr>
          <w:rFonts w:ascii="Garamond" w:hAnsi="Garamond"/>
          <w:sz w:val="24"/>
          <w:szCs w:val="24"/>
        </w:rPr>
        <w:t xml:space="preserve"> Editore, </w:t>
      </w:r>
      <w:r>
        <w:rPr>
          <w:rFonts w:ascii="Garamond" w:hAnsi="Garamond"/>
          <w:sz w:val="24"/>
          <w:szCs w:val="24"/>
        </w:rPr>
        <w:t xml:space="preserve">2012, 118 – 133. 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i/>
          <w:sz w:val="24"/>
          <w:szCs w:val="24"/>
        </w:rPr>
        <w:t>“La condizione delle persone con disabilità come questione di diritti umani”</w:t>
      </w:r>
      <w:r>
        <w:rPr>
          <w:rFonts w:ascii="Garamond" w:hAnsi="Garamond"/>
          <w:sz w:val="24"/>
          <w:szCs w:val="24"/>
        </w:rPr>
        <w:t xml:space="preserve">, in AA.VV., </w:t>
      </w:r>
      <w:r>
        <w:rPr>
          <w:rFonts w:ascii="Garamond" w:hAnsi="Garamond"/>
          <w:i/>
          <w:sz w:val="24"/>
          <w:szCs w:val="24"/>
        </w:rPr>
        <w:t>Diritto e disabilità nella legislazione e nelle politiche della Regione Calabria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Falzea</w:t>
      </w:r>
      <w:proofErr w:type="spellEnd"/>
      <w:r>
        <w:rPr>
          <w:rFonts w:ascii="Garamond" w:hAnsi="Garamond"/>
          <w:sz w:val="24"/>
          <w:szCs w:val="24"/>
        </w:rPr>
        <w:t xml:space="preserve"> Editore, 2013, 37 ss.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i/>
          <w:sz w:val="24"/>
          <w:szCs w:val="24"/>
        </w:rPr>
        <w:t xml:space="preserve">La circolazione dei diritti sul corpo e la pluralità delle fonti a tutela della persona, </w:t>
      </w:r>
      <w:r>
        <w:rPr>
          <w:rFonts w:ascii="Garamond" w:hAnsi="Garamond"/>
          <w:sz w:val="24"/>
          <w:szCs w:val="24"/>
        </w:rPr>
        <w:t xml:space="preserve">in AA.VV., </w:t>
      </w:r>
      <w:r>
        <w:rPr>
          <w:rFonts w:ascii="Garamond" w:hAnsi="Garamond"/>
          <w:i/>
          <w:sz w:val="24"/>
          <w:szCs w:val="24"/>
        </w:rPr>
        <w:t>Soggetti deboli e diritto incerto. Un’indagine multidisciplinare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Aracne</w:t>
      </w:r>
      <w:proofErr w:type="spellEnd"/>
      <w:r>
        <w:rPr>
          <w:rFonts w:ascii="Garamond" w:hAnsi="Garamond"/>
          <w:sz w:val="24"/>
          <w:szCs w:val="24"/>
        </w:rPr>
        <w:t>, 2014, 33 - 46.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i/>
          <w:sz w:val="24"/>
          <w:szCs w:val="24"/>
        </w:rPr>
        <w:t>Gli atti di disposizione del corpo,</w:t>
      </w:r>
      <w:r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i/>
          <w:sz w:val="24"/>
          <w:szCs w:val="24"/>
        </w:rPr>
        <w:t>Persone, famiglia, medicina</w:t>
      </w:r>
      <w:r>
        <w:rPr>
          <w:rFonts w:ascii="Garamond" w:hAnsi="Garamond"/>
          <w:sz w:val="24"/>
          <w:szCs w:val="24"/>
        </w:rPr>
        <w:t>, I,</w:t>
      </w:r>
      <w:r>
        <w:rPr>
          <w:rFonts w:ascii="Garamond" w:hAnsi="Garamond"/>
          <w:i/>
          <w:sz w:val="24"/>
          <w:szCs w:val="24"/>
        </w:rPr>
        <w:t xml:space="preserve"> Trattato breve dei Nuovi Danni</w:t>
      </w:r>
      <w:r>
        <w:rPr>
          <w:rFonts w:ascii="Garamond" w:hAnsi="Garamond"/>
          <w:sz w:val="24"/>
          <w:szCs w:val="24"/>
        </w:rPr>
        <w:t xml:space="preserve">, diretto da P. </w:t>
      </w:r>
      <w:proofErr w:type="spellStart"/>
      <w:r>
        <w:rPr>
          <w:rFonts w:ascii="Garamond" w:hAnsi="Garamond"/>
          <w:sz w:val="24"/>
          <w:szCs w:val="24"/>
        </w:rPr>
        <w:t>Cendon</w:t>
      </w:r>
      <w:proofErr w:type="spellEnd"/>
      <w:r>
        <w:rPr>
          <w:rFonts w:ascii="Garamond" w:hAnsi="Garamond"/>
          <w:sz w:val="24"/>
          <w:szCs w:val="24"/>
        </w:rPr>
        <w:t xml:space="preserve">, Casa Editrice </w:t>
      </w:r>
      <w:proofErr w:type="spellStart"/>
      <w:r>
        <w:rPr>
          <w:rFonts w:ascii="Garamond" w:hAnsi="Garamond"/>
          <w:sz w:val="24"/>
          <w:szCs w:val="24"/>
        </w:rPr>
        <w:t>Cedam</w:t>
      </w:r>
      <w:proofErr w:type="spellEnd"/>
      <w:r>
        <w:rPr>
          <w:rFonts w:ascii="Garamond" w:hAnsi="Garamond"/>
          <w:sz w:val="24"/>
          <w:szCs w:val="24"/>
        </w:rPr>
        <w:t xml:space="preserve">, 2014, 623 – 638. 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i/>
          <w:sz w:val="24"/>
          <w:szCs w:val="24"/>
        </w:rPr>
        <w:t xml:space="preserve">Gli atti di disposizione del corpo tra disciplina </w:t>
      </w:r>
      <w:proofErr w:type="spellStart"/>
      <w:r>
        <w:rPr>
          <w:rFonts w:ascii="Garamond" w:hAnsi="Garamond"/>
          <w:i/>
          <w:sz w:val="24"/>
          <w:szCs w:val="24"/>
        </w:rPr>
        <w:t>codicistica</w:t>
      </w:r>
      <w:proofErr w:type="spellEnd"/>
      <w:r>
        <w:rPr>
          <w:rFonts w:ascii="Garamond" w:hAnsi="Garamond"/>
          <w:i/>
          <w:sz w:val="24"/>
          <w:szCs w:val="24"/>
        </w:rPr>
        <w:t xml:space="preserve"> e complessità del sistema delle fonti</w:t>
      </w:r>
      <w:r>
        <w:rPr>
          <w:rFonts w:ascii="Garamond" w:hAnsi="Garamond"/>
          <w:sz w:val="24"/>
          <w:szCs w:val="24"/>
        </w:rPr>
        <w:t xml:space="preserve">, in </w:t>
      </w:r>
      <w:r>
        <w:rPr>
          <w:rFonts w:ascii="Garamond" w:hAnsi="Garamond"/>
          <w:i/>
          <w:sz w:val="24"/>
          <w:szCs w:val="24"/>
        </w:rPr>
        <w:t xml:space="preserve">www.ordines.it </w:t>
      </w:r>
      <w:r>
        <w:rPr>
          <w:rFonts w:ascii="Garamond" w:hAnsi="Garamond"/>
          <w:sz w:val="24"/>
          <w:szCs w:val="24"/>
        </w:rPr>
        <w:t>, 2015, n. 2, 108 - 156.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i/>
          <w:sz w:val="24"/>
          <w:szCs w:val="24"/>
        </w:rPr>
        <w:t xml:space="preserve">Diritto alla vita privata e familiare e al matrimonio delle coppie </w:t>
      </w:r>
      <w:proofErr w:type="spellStart"/>
      <w:r>
        <w:rPr>
          <w:rFonts w:ascii="Garamond" w:hAnsi="Garamond"/>
          <w:sz w:val="24"/>
          <w:szCs w:val="24"/>
        </w:rPr>
        <w:t>same</w:t>
      </w:r>
      <w:proofErr w:type="spellEnd"/>
      <w:r>
        <w:rPr>
          <w:rFonts w:ascii="Garamond" w:hAnsi="Garamond"/>
          <w:sz w:val="24"/>
          <w:szCs w:val="24"/>
        </w:rPr>
        <w:t xml:space="preserve"> sex, in AA.VV., </w:t>
      </w:r>
      <w:r>
        <w:rPr>
          <w:rFonts w:ascii="Garamond" w:hAnsi="Garamond"/>
          <w:i/>
          <w:sz w:val="24"/>
          <w:szCs w:val="24"/>
        </w:rPr>
        <w:t xml:space="preserve">L’influenza del diritto europeo sugli ordinamenti </w:t>
      </w:r>
      <w:r w:rsidRPr="001D64C0">
        <w:rPr>
          <w:rFonts w:ascii="Garamond" w:hAnsi="Garamond"/>
          <w:i/>
          <w:sz w:val="24"/>
          <w:szCs w:val="24"/>
        </w:rPr>
        <w:t>nazionali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Aracne</w:t>
      </w:r>
      <w:proofErr w:type="spellEnd"/>
      <w:r>
        <w:rPr>
          <w:rFonts w:ascii="Garamond" w:hAnsi="Garamond"/>
          <w:sz w:val="24"/>
          <w:szCs w:val="24"/>
        </w:rPr>
        <w:t>, 2017, 125 - 142.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i/>
          <w:sz w:val="24"/>
          <w:szCs w:val="24"/>
        </w:rPr>
        <w:t xml:space="preserve">Il contratto preliminare ad esecuzione anticipata: una proposta ricostruttiva di un fenomeno complesso, </w:t>
      </w:r>
      <w:proofErr w:type="spellStart"/>
      <w:r>
        <w:rPr>
          <w:rFonts w:ascii="Garamond" w:hAnsi="Garamond"/>
          <w:sz w:val="24"/>
          <w:szCs w:val="24"/>
        </w:rPr>
        <w:t>Cedam</w:t>
      </w:r>
      <w:proofErr w:type="spellEnd"/>
      <w:r>
        <w:rPr>
          <w:rFonts w:ascii="Garamond" w:hAnsi="Garamond"/>
          <w:sz w:val="24"/>
          <w:szCs w:val="24"/>
        </w:rPr>
        <w:t>, 2018, I-IX, 1-229.</w:t>
      </w:r>
    </w:p>
    <w:p w:rsidR="00175AD1" w:rsidRPr="009765D1" w:rsidRDefault="00175AD1" w:rsidP="00175AD1">
      <w:pPr>
        <w:spacing w:line="240" w:lineRule="auto"/>
        <w:jc w:val="both"/>
        <w:rPr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F7A29">
        <w:rPr>
          <w:rFonts w:ascii="Garamond" w:hAnsi="Garamond"/>
          <w:i/>
          <w:sz w:val="24"/>
          <w:szCs w:val="24"/>
        </w:rPr>
        <w:t xml:space="preserve">Il </w:t>
      </w:r>
      <w:r>
        <w:rPr>
          <w:rFonts w:ascii="Garamond" w:hAnsi="Garamond"/>
          <w:i/>
          <w:sz w:val="24"/>
          <w:szCs w:val="24"/>
        </w:rPr>
        <w:t xml:space="preserve">corpo ed il potere di disporne </w:t>
      </w:r>
      <w:r w:rsidRPr="00F04ACB">
        <w:rPr>
          <w:rFonts w:ascii="Garamond" w:hAnsi="Garamond"/>
          <w:i/>
          <w:sz w:val="24"/>
          <w:szCs w:val="24"/>
        </w:rPr>
        <w:t xml:space="preserve">tra disciplina </w:t>
      </w:r>
      <w:proofErr w:type="spellStart"/>
      <w:r w:rsidRPr="00F04ACB">
        <w:rPr>
          <w:rFonts w:ascii="Garamond" w:hAnsi="Garamond"/>
          <w:i/>
          <w:sz w:val="24"/>
          <w:szCs w:val="24"/>
        </w:rPr>
        <w:t>codicistica</w:t>
      </w:r>
      <w:proofErr w:type="spellEnd"/>
      <w:r w:rsidRPr="00F04ACB">
        <w:rPr>
          <w:rFonts w:ascii="Garamond" w:hAnsi="Garamond"/>
          <w:i/>
          <w:sz w:val="24"/>
          <w:szCs w:val="24"/>
        </w:rPr>
        <w:t xml:space="preserve"> e complessità del sistema delle fonti</w:t>
      </w:r>
      <w:r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i/>
          <w:sz w:val="24"/>
          <w:szCs w:val="24"/>
        </w:rPr>
        <w:t>Nuovo Diritto C</w:t>
      </w:r>
      <w:r w:rsidRPr="00333FF6">
        <w:rPr>
          <w:rFonts w:ascii="Garamond" w:hAnsi="Garamond"/>
          <w:i/>
          <w:sz w:val="24"/>
          <w:szCs w:val="24"/>
        </w:rPr>
        <w:t>ivile</w:t>
      </w:r>
      <w:r>
        <w:rPr>
          <w:rFonts w:ascii="Garamond" w:hAnsi="Garamond"/>
          <w:sz w:val="24"/>
          <w:szCs w:val="24"/>
        </w:rPr>
        <w:t>, 2018, 2, 237 - 272</w:t>
      </w:r>
      <w:r w:rsidRPr="009765D1">
        <w:rPr>
          <w:sz w:val="28"/>
          <w:szCs w:val="28"/>
        </w:rPr>
        <w:t>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33FF6">
        <w:rPr>
          <w:rFonts w:ascii="Garamond" w:hAnsi="Garamond"/>
          <w:i/>
          <w:sz w:val="24"/>
          <w:szCs w:val="24"/>
        </w:rPr>
        <w:t>Art. 193 c.c. Separazione giudiziale dei beni</w:t>
      </w:r>
      <w:r>
        <w:rPr>
          <w:rFonts w:ascii="Garamond" w:hAnsi="Garamond"/>
          <w:i/>
          <w:sz w:val="24"/>
          <w:szCs w:val="24"/>
        </w:rPr>
        <w:t xml:space="preserve">,  </w:t>
      </w:r>
      <w:r>
        <w:rPr>
          <w:rFonts w:ascii="Garamond" w:hAnsi="Garamond"/>
          <w:sz w:val="24"/>
          <w:szCs w:val="24"/>
        </w:rPr>
        <w:t xml:space="preserve">in G. Di Rosa (a cura di), </w:t>
      </w:r>
      <w:r>
        <w:rPr>
          <w:rFonts w:ascii="Garamond" w:hAnsi="Garamond"/>
          <w:i/>
          <w:sz w:val="24"/>
          <w:szCs w:val="24"/>
        </w:rPr>
        <w:t xml:space="preserve">Della famiglia, </w:t>
      </w:r>
      <w:r>
        <w:rPr>
          <w:rFonts w:ascii="Garamond" w:hAnsi="Garamond"/>
          <w:sz w:val="24"/>
          <w:szCs w:val="24"/>
        </w:rPr>
        <w:t>Commentario del Codice C</w:t>
      </w:r>
      <w:r w:rsidRPr="00333FF6">
        <w:rPr>
          <w:rFonts w:ascii="Garamond" w:hAnsi="Garamond"/>
          <w:sz w:val="24"/>
          <w:szCs w:val="24"/>
        </w:rPr>
        <w:t>ivile, dirett</w:t>
      </w:r>
      <w:r>
        <w:rPr>
          <w:rFonts w:ascii="Garamond" w:hAnsi="Garamond"/>
          <w:sz w:val="24"/>
          <w:szCs w:val="24"/>
        </w:rPr>
        <w:t xml:space="preserve">o da E. </w:t>
      </w:r>
      <w:proofErr w:type="spellStart"/>
      <w:r>
        <w:rPr>
          <w:rFonts w:ascii="Garamond" w:hAnsi="Garamond"/>
          <w:sz w:val="24"/>
          <w:szCs w:val="24"/>
        </w:rPr>
        <w:t>Gabrielli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333FF6">
        <w:rPr>
          <w:rFonts w:ascii="Garamond" w:hAnsi="Garamond"/>
          <w:sz w:val="24"/>
          <w:szCs w:val="24"/>
        </w:rPr>
        <w:t xml:space="preserve"> Utet</w:t>
      </w:r>
      <w:r>
        <w:rPr>
          <w:rFonts w:ascii="Garamond" w:hAnsi="Garamond"/>
          <w:sz w:val="24"/>
          <w:szCs w:val="24"/>
        </w:rPr>
        <w:t>, 2018, 1505 - 1518.</w:t>
      </w:r>
    </w:p>
    <w:p w:rsidR="00175AD1" w:rsidRPr="00796D1C" w:rsidRDefault="00175AD1" w:rsidP="00175AD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</w:t>
      </w:r>
      <w:r>
        <w:rPr>
          <w:rFonts w:ascii="Garamond" w:hAnsi="Garamond"/>
          <w:i/>
          <w:sz w:val="24"/>
          <w:szCs w:val="24"/>
        </w:rPr>
        <w:t xml:space="preserve">La complessità del preliminare e la causa “in concreto”, </w:t>
      </w:r>
      <w:r>
        <w:rPr>
          <w:rFonts w:ascii="Garamond" w:hAnsi="Garamond"/>
          <w:sz w:val="24"/>
          <w:szCs w:val="24"/>
        </w:rPr>
        <w:t xml:space="preserve">in corso di pubblicazione in </w:t>
      </w:r>
      <w:r>
        <w:rPr>
          <w:rFonts w:ascii="Garamond" w:hAnsi="Garamond"/>
          <w:i/>
          <w:sz w:val="24"/>
          <w:szCs w:val="24"/>
        </w:rPr>
        <w:t xml:space="preserve">Comparazione e diritto civile </w:t>
      </w:r>
      <w:r>
        <w:rPr>
          <w:rFonts w:ascii="Garamond" w:hAnsi="Garamond"/>
          <w:sz w:val="24"/>
          <w:szCs w:val="24"/>
        </w:rPr>
        <w:t>2019.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581DAD">
        <w:rPr>
          <w:rFonts w:ascii="Garamond" w:hAnsi="Garamond"/>
          <w:b/>
          <w:bCs/>
          <w:sz w:val="28"/>
          <w:szCs w:val="28"/>
        </w:rPr>
        <w:t>Curatele</w:t>
      </w:r>
    </w:p>
    <w:p w:rsidR="00175AD1" w:rsidRPr="00B12782" w:rsidRDefault="00175AD1" w:rsidP="00175AD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M.L.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Chiarella</w:t>
      </w:r>
      <w:proofErr w:type="spellEnd"/>
      <w:r>
        <w:rPr>
          <w:rFonts w:ascii="Garamond" w:hAnsi="Garamond"/>
          <w:sz w:val="24"/>
          <w:szCs w:val="24"/>
        </w:rPr>
        <w:t xml:space="preserve">, G. Cosco, A.D. Marra, B. Saccà (a cura di),  </w:t>
      </w:r>
      <w:r w:rsidRPr="00B12782">
        <w:rPr>
          <w:rFonts w:ascii="Garamond" w:hAnsi="Garamond"/>
          <w:i/>
          <w:iCs/>
          <w:sz w:val="24"/>
          <w:szCs w:val="24"/>
        </w:rPr>
        <w:t xml:space="preserve">Tutela della persona e </w:t>
      </w:r>
      <w:proofErr w:type="spellStart"/>
      <w:r w:rsidRPr="00B12782">
        <w:rPr>
          <w:rFonts w:ascii="Garamond" w:hAnsi="Garamond"/>
          <w:i/>
          <w:iCs/>
          <w:sz w:val="24"/>
          <w:szCs w:val="24"/>
        </w:rPr>
        <w:t>disability</w:t>
      </w:r>
      <w:proofErr w:type="spellEnd"/>
      <w:r w:rsidRPr="00B12782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B12782">
        <w:rPr>
          <w:rFonts w:ascii="Garamond" w:hAnsi="Garamond"/>
          <w:i/>
          <w:iCs/>
          <w:sz w:val="24"/>
          <w:szCs w:val="24"/>
        </w:rPr>
        <w:t>studies</w:t>
      </w:r>
      <w:proofErr w:type="spellEnd"/>
      <w:r>
        <w:rPr>
          <w:rFonts w:ascii="Garamond" w:hAnsi="Garamond"/>
          <w:sz w:val="24"/>
          <w:szCs w:val="24"/>
        </w:rPr>
        <w:t xml:space="preserve">. Atti del Convegno Internazionale (5 -6 ottobre 2012, Università Magna </w:t>
      </w:r>
      <w:proofErr w:type="spellStart"/>
      <w:r>
        <w:rPr>
          <w:rFonts w:ascii="Garamond" w:hAnsi="Garamond"/>
          <w:sz w:val="24"/>
          <w:szCs w:val="24"/>
        </w:rPr>
        <w:t>Græcia</w:t>
      </w:r>
      <w:proofErr w:type="spellEnd"/>
      <w:r>
        <w:rPr>
          <w:rFonts w:ascii="Garamond" w:hAnsi="Garamond"/>
          <w:sz w:val="24"/>
          <w:szCs w:val="24"/>
        </w:rPr>
        <w:t xml:space="preserve"> di Catanzaro), Editore </w:t>
      </w:r>
      <w:proofErr w:type="spellStart"/>
      <w:r>
        <w:rPr>
          <w:rFonts w:ascii="Garamond" w:hAnsi="Garamond"/>
          <w:sz w:val="24"/>
          <w:szCs w:val="24"/>
        </w:rPr>
        <w:t>Falzea</w:t>
      </w:r>
      <w:proofErr w:type="spellEnd"/>
      <w:r>
        <w:rPr>
          <w:rFonts w:ascii="Garamond" w:hAnsi="Garamond"/>
          <w:sz w:val="24"/>
          <w:szCs w:val="24"/>
        </w:rPr>
        <w:t>, 2012.</w:t>
      </w:r>
    </w:p>
    <w:p w:rsidR="00175AD1" w:rsidRDefault="00175AD1" w:rsidP="00175AD1">
      <w:pPr>
        <w:spacing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75AD1" w:rsidRDefault="00175AD1" w:rsidP="00175AD1">
      <w:pPr>
        <w:spacing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8907E9" w:rsidRDefault="008907E9" w:rsidP="00175AD1">
      <w:pPr>
        <w:spacing w:line="240" w:lineRule="auto"/>
      </w:pPr>
    </w:p>
    <w:sectPr w:rsidR="00890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175AD1"/>
    <w:rsid w:val="00175AD1"/>
    <w:rsid w:val="0089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175AD1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Giusy Cosco</dc:creator>
  <cp:keywords/>
  <dc:description/>
  <cp:lastModifiedBy>Prof.ssa Giusy Cosco</cp:lastModifiedBy>
  <cp:revision>2</cp:revision>
  <dcterms:created xsi:type="dcterms:W3CDTF">2019-04-11T11:18:00Z</dcterms:created>
  <dcterms:modified xsi:type="dcterms:W3CDTF">2019-04-11T11:22:00Z</dcterms:modified>
</cp:coreProperties>
</file>