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F0" w:rsidRPr="00E65BF0" w:rsidRDefault="00E65BF0" w:rsidP="00E65BF0">
      <w:pPr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E65BF0">
        <w:rPr>
          <w:rFonts w:ascii="Helvetica Neue" w:hAnsi="Helvetica Neue" w:cs="Times New Roman"/>
          <w:b/>
          <w:bCs/>
          <w:color w:val="333333"/>
          <w:sz w:val="21"/>
          <w:szCs w:val="21"/>
        </w:rPr>
        <w:t>Descrizione del Corso </w:t>
      </w:r>
      <w:r w:rsidRPr="00E65BF0">
        <w:rPr>
          <w:rFonts w:ascii="Helvetica Neue" w:hAnsi="Helvetica Neue" w:cs="Times New Roman"/>
          <w:b/>
          <w:bCs/>
          <w:color w:val="333333"/>
          <w:sz w:val="21"/>
          <w:szCs w:val="21"/>
        </w:rPr>
        <w:br/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t>Fornire nella prima parte le conoscenze fondamentali in economia pubblica e nella seconda parte le nozioni principali di economia del lavoro e del capitale umano.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</w:r>
      <w:r w:rsidRPr="00E65BF0">
        <w:rPr>
          <w:rFonts w:ascii="Helvetica Neue" w:hAnsi="Helvetica Neue" w:cs="Times New Roman"/>
          <w:b/>
          <w:bCs/>
          <w:color w:val="333333"/>
          <w:sz w:val="21"/>
          <w:szCs w:val="21"/>
        </w:rPr>
        <w:t>Obiettivi del Corso e Risultati di apprendimento attesi</w:t>
      </w:r>
      <w:proofErr w:type="gramStart"/>
      <w:r w:rsidRPr="00E65BF0">
        <w:rPr>
          <w:rFonts w:ascii="Helvetica Neue" w:hAnsi="Helvetica Neue" w:cs="Times New Roman"/>
          <w:b/>
          <w:bCs/>
          <w:color w:val="333333"/>
          <w:sz w:val="21"/>
          <w:szCs w:val="21"/>
        </w:rPr>
        <w:t> 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t> </w:t>
      </w:r>
      <w:proofErr w:type="gramEnd"/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  <w:t xml:space="preserve">Obiettivo del corso è fornire le conoscenze e la capacità di valutazione delle politiche pubbliche e nel mercato del lavoro. Lo studente dovrà essere in grado di illustrare e interpretare i principali concetti teorici di economia pubblica (Teoremi del Benessere, Teorema di Arrow, Beni Pubblici, </w:t>
      </w:r>
      <w:proofErr w:type="spellStart"/>
      <w:r w:rsidRPr="00E65BF0">
        <w:rPr>
          <w:rFonts w:ascii="Helvetica Neue" w:hAnsi="Helvetica Neue" w:cs="Times New Roman"/>
          <w:color w:val="333333"/>
          <w:sz w:val="21"/>
          <w:szCs w:val="21"/>
        </w:rPr>
        <w:t>Esternalita'</w:t>
      </w:r>
      <w:proofErr w:type="spellEnd"/>
      <w:r w:rsidRPr="00E65BF0">
        <w:rPr>
          <w:rFonts w:ascii="Helvetica Neue" w:hAnsi="Helvetica Neue" w:cs="Times New Roman"/>
          <w:color w:val="333333"/>
          <w:sz w:val="21"/>
          <w:szCs w:val="21"/>
        </w:rPr>
        <w:t xml:space="preserve"> e Monopolio naturale). Lo studente dovrà affrontare le problematiche </w:t>
      </w:r>
      <w:proofErr w:type="gramStart"/>
      <w:r w:rsidRPr="00E65BF0">
        <w:rPr>
          <w:rFonts w:ascii="Helvetica Neue" w:hAnsi="Helvetica Neue" w:cs="Times New Roman"/>
          <w:color w:val="333333"/>
          <w:sz w:val="21"/>
          <w:szCs w:val="21"/>
        </w:rPr>
        <w:t>relative alla</w:t>
      </w:r>
      <w:proofErr w:type="gramEnd"/>
      <w:r w:rsidRPr="00E65BF0">
        <w:rPr>
          <w:rFonts w:ascii="Helvetica Neue" w:hAnsi="Helvetica Neue" w:cs="Times New Roman"/>
          <w:color w:val="333333"/>
          <w:sz w:val="21"/>
          <w:szCs w:val="21"/>
        </w:rPr>
        <w:t> teoria del capitale umano, distribuzione dei salari,  discriminazione sul mercato del lavoro e alla disoccupazione, 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</w:r>
      <w:r w:rsidRPr="00E65BF0">
        <w:rPr>
          <w:rFonts w:ascii="Helvetica Neue" w:hAnsi="Helvetica Neue" w:cs="Times New Roman"/>
          <w:b/>
          <w:bCs/>
          <w:color w:val="333333"/>
          <w:sz w:val="21"/>
          <w:szCs w:val="21"/>
        </w:rPr>
        <w:t>Programma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t> 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</w:r>
      <w:proofErr w:type="gramStart"/>
      <w:r w:rsidRPr="00E65BF0">
        <w:rPr>
          <w:rFonts w:ascii="Helvetica Neue" w:hAnsi="Helvetica Neue" w:cs="Times New Roman"/>
          <w:color w:val="333333"/>
          <w:sz w:val="21"/>
          <w:szCs w:val="21"/>
        </w:rPr>
        <w:t>Parte di economia pubblica: Efficienza nello scambio e nella produzione I e II teorema del benessere</w:t>
      </w:r>
      <w:proofErr w:type="gramEnd"/>
      <w:r w:rsidRPr="00E65BF0">
        <w:rPr>
          <w:rFonts w:ascii="Helvetica Neue" w:hAnsi="Helvetica Neue" w:cs="Times New Roman"/>
          <w:color w:val="333333"/>
          <w:sz w:val="21"/>
          <w:szCs w:val="21"/>
        </w:rPr>
        <w:t xml:space="preserve">. Teorema di Arrow e conseguenze. </w:t>
      </w:r>
      <w:proofErr w:type="gramStart"/>
      <w:r w:rsidRPr="00E65BF0">
        <w:rPr>
          <w:rFonts w:ascii="Helvetica Neue" w:hAnsi="Helvetica Neue" w:cs="Times New Roman"/>
          <w:color w:val="333333"/>
          <w:sz w:val="21"/>
          <w:szCs w:val="21"/>
        </w:rPr>
        <w:t>Fallimenti del mercato: esternalità e beni pubblici, monopolio naturale</w:t>
      </w:r>
      <w:proofErr w:type="gramEnd"/>
      <w:r w:rsidRPr="00E65BF0">
        <w:rPr>
          <w:rFonts w:ascii="Helvetica Neue" w:hAnsi="Helvetica Neue" w:cs="Times New Roman"/>
          <w:color w:val="333333"/>
          <w:sz w:val="21"/>
          <w:szCs w:val="21"/>
        </w:rPr>
        <w:t xml:space="preserve">. Il sistema sanitario. Il sistema </w:t>
      </w:r>
      <w:proofErr w:type="gramStart"/>
      <w:r w:rsidRPr="00E65BF0">
        <w:rPr>
          <w:rFonts w:ascii="Helvetica Neue" w:hAnsi="Helvetica Neue" w:cs="Times New Roman"/>
          <w:color w:val="333333"/>
          <w:sz w:val="21"/>
          <w:szCs w:val="21"/>
        </w:rPr>
        <w:t>pensionistico</w:t>
      </w:r>
      <w:proofErr w:type="gramEnd"/>
      <w:r w:rsidRPr="00E65BF0">
        <w:rPr>
          <w:rFonts w:ascii="Helvetica Neue" w:hAnsi="Helvetica Neue" w:cs="Times New Roman"/>
          <w:color w:val="333333"/>
          <w:sz w:val="21"/>
          <w:szCs w:val="21"/>
        </w:rPr>
        <w:t>.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  <w:t>Parte di economia del lavoro: Il capitale umano. La distribuzione del salario.  La discriminazione del mercato del lavoro. Disoccupazione. 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</w:r>
      <w:r w:rsidRPr="00E65BF0">
        <w:rPr>
          <w:rFonts w:ascii="Helvetica Neue" w:hAnsi="Helvetica Neue" w:cs="Times New Roman"/>
          <w:b/>
          <w:bCs/>
          <w:color w:val="333333"/>
          <w:sz w:val="21"/>
          <w:szCs w:val="21"/>
        </w:rPr>
        <w:t>Stima dell’impegno orario richiesto per lo studio individuale del programma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t xml:space="preserve"> Si prevede che lo studente frequentante debba studiare almeno un’ora per ogni </w:t>
      </w:r>
      <w:proofErr w:type="gramStart"/>
      <w:r w:rsidRPr="00E65BF0">
        <w:rPr>
          <w:rFonts w:ascii="Helvetica Neue" w:hAnsi="Helvetica Neue" w:cs="Times New Roman"/>
          <w:color w:val="333333"/>
          <w:sz w:val="21"/>
          <w:szCs w:val="21"/>
        </w:rPr>
        <w:t>ora</w:t>
      </w:r>
      <w:proofErr w:type="gramEnd"/>
      <w:r w:rsidRPr="00E65BF0">
        <w:rPr>
          <w:rFonts w:ascii="Helvetica Neue" w:hAnsi="Helvetica Neue" w:cs="Times New Roman"/>
          <w:color w:val="333333"/>
          <w:sz w:val="21"/>
          <w:szCs w:val="21"/>
        </w:rPr>
        <w:t xml:space="preserve"> di lezione seguita. Si prevede invece che lo studente non frequentante per stessi argomenti debba studiare il triplo del tempo di un frequentante.  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</w:r>
      <w:r w:rsidRPr="00E65BF0">
        <w:rPr>
          <w:rFonts w:ascii="Helvetica Neue" w:hAnsi="Helvetica Neue" w:cs="Times New Roman"/>
          <w:b/>
          <w:bCs/>
          <w:color w:val="333333"/>
          <w:sz w:val="21"/>
          <w:szCs w:val="21"/>
        </w:rPr>
        <w:br/>
        <w:t>Metodi Insegnamento utilizzati </w:t>
      </w:r>
      <w:proofErr w:type="gramStart"/>
      <w:r w:rsidRPr="00E65BF0">
        <w:rPr>
          <w:rFonts w:ascii="Helvetica Neue" w:hAnsi="Helvetica Neue" w:cs="Times New Roman"/>
          <w:color w:val="333333"/>
          <w:sz w:val="21"/>
          <w:szCs w:val="21"/>
        </w:rPr>
        <w:t>Il corso</w:t>
      </w:r>
      <w:proofErr w:type="gramEnd"/>
      <w:r w:rsidRPr="00E65BF0">
        <w:rPr>
          <w:rFonts w:ascii="Helvetica Neue" w:hAnsi="Helvetica Neue" w:cs="Times New Roman"/>
          <w:color w:val="333333"/>
          <w:sz w:val="21"/>
          <w:szCs w:val="21"/>
        </w:rPr>
        <w:t xml:space="preserve"> si basa su lezioni frontali e didattica integrativa. La didattica integrativa consiste nella presentazione ogni settimana, da parte degli studenti, della soluzione di esercizi assegnati in precedenza, relazioni integrative, </w:t>
      </w:r>
      <w:proofErr w:type="gramStart"/>
      <w:r w:rsidRPr="00E65BF0">
        <w:rPr>
          <w:rFonts w:ascii="Helvetica Neue" w:hAnsi="Helvetica Neue" w:cs="Times New Roman"/>
          <w:color w:val="333333"/>
          <w:sz w:val="21"/>
          <w:szCs w:val="21"/>
        </w:rPr>
        <w:t>revisione</w:t>
      </w:r>
      <w:proofErr w:type="gramEnd"/>
      <w:r w:rsidRPr="00E65BF0">
        <w:rPr>
          <w:rFonts w:ascii="Helvetica Neue" w:hAnsi="Helvetica Neue" w:cs="Times New Roman"/>
          <w:color w:val="333333"/>
          <w:sz w:val="21"/>
          <w:szCs w:val="21"/>
        </w:rPr>
        <w:t xml:space="preserve"> di argomenti di lezione.    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</w:r>
      <w:r w:rsidRPr="00E65BF0">
        <w:rPr>
          <w:rFonts w:ascii="Helvetica Neue" w:hAnsi="Helvetica Neue" w:cs="Times New Roman"/>
          <w:b/>
          <w:bCs/>
          <w:color w:val="333333"/>
          <w:sz w:val="21"/>
          <w:szCs w:val="21"/>
        </w:rPr>
        <w:br/>
      </w:r>
      <w:proofErr w:type="gramStart"/>
      <w:r w:rsidRPr="00E65BF0">
        <w:rPr>
          <w:rFonts w:ascii="Helvetica Neue" w:hAnsi="Helvetica Neue" w:cs="Times New Roman"/>
          <w:b/>
          <w:bCs/>
          <w:color w:val="333333"/>
          <w:sz w:val="21"/>
          <w:szCs w:val="21"/>
        </w:rPr>
        <w:t>Modalità</w:t>
      </w:r>
      <w:proofErr w:type="gramEnd"/>
      <w:r w:rsidRPr="00E65BF0">
        <w:rPr>
          <w:rFonts w:ascii="Helvetica Neue" w:hAnsi="Helvetica Neue" w:cs="Times New Roman"/>
          <w:b/>
          <w:bCs/>
          <w:color w:val="333333"/>
          <w:sz w:val="21"/>
          <w:szCs w:val="21"/>
        </w:rPr>
        <w:t xml:space="preserve"> di frequenza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t> La frequenza è obbligatoria e accertata tramite appello o raccolta di firme solo per chi intende sostenere l’esame in modalità frequentante. E’ richiesta la presenza ad almeno il 75% delle lezioni. I frequentanti sosterranno l’esame solo sulla parte di programma affrontata dal docente in classe.  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br/>
      </w:r>
      <w:proofErr w:type="gramStart"/>
      <w:r w:rsidRPr="00E65BF0">
        <w:rPr>
          <w:rFonts w:ascii="Helvetica Neue" w:hAnsi="Helvetica Neue" w:cs="Times New Roman"/>
          <w:b/>
          <w:bCs/>
          <w:color w:val="333333"/>
          <w:sz w:val="21"/>
          <w:szCs w:val="21"/>
        </w:rPr>
        <w:t>Modalità</w:t>
      </w:r>
      <w:proofErr w:type="gramEnd"/>
      <w:r w:rsidRPr="00E65BF0">
        <w:rPr>
          <w:rFonts w:ascii="Helvetica Neue" w:hAnsi="Helvetica Neue" w:cs="Times New Roman"/>
          <w:b/>
          <w:bCs/>
          <w:color w:val="333333"/>
          <w:sz w:val="21"/>
          <w:szCs w:val="21"/>
        </w:rPr>
        <w:t xml:space="preserve"> di accertamento </w:t>
      </w:r>
      <w:r w:rsidRPr="00E65BF0">
        <w:rPr>
          <w:rFonts w:ascii="Helvetica Neue" w:hAnsi="Helvetica Neue" w:cs="Times New Roman"/>
          <w:color w:val="333333"/>
          <w:sz w:val="21"/>
          <w:szCs w:val="21"/>
        </w:rPr>
        <w:t xml:space="preserve">L’esame è in forma scritta con possibilità di orale integrativo facoltativo per chi ha ottenuto un voto di almeno 15/30. Lo scritto consiste in esercizi numerici e domande teoriche. Ogni domanda vale un numero predeterminato di punti. La somma di tutti i punti per domanda è </w:t>
      </w:r>
      <w:proofErr w:type="gramStart"/>
      <w:r w:rsidRPr="00E65BF0">
        <w:rPr>
          <w:rFonts w:ascii="Helvetica Neue" w:hAnsi="Helvetica Neue" w:cs="Times New Roman"/>
          <w:color w:val="333333"/>
          <w:sz w:val="21"/>
          <w:szCs w:val="21"/>
        </w:rPr>
        <w:t>30</w:t>
      </w:r>
      <w:proofErr w:type="gramEnd"/>
      <w:r w:rsidRPr="00E65BF0">
        <w:rPr>
          <w:rFonts w:ascii="Helvetica Neue" w:hAnsi="Helvetica Neue" w:cs="Times New Roman"/>
          <w:color w:val="333333"/>
          <w:sz w:val="21"/>
          <w:szCs w:val="21"/>
        </w:rPr>
        <w:t xml:space="preserve">. L’esame è superato se si ottengono almeno </w:t>
      </w:r>
      <w:proofErr w:type="gramStart"/>
      <w:r w:rsidRPr="00E65BF0">
        <w:rPr>
          <w:rFonts w:ascii="Helvetica Neue" w:hAnsi="Helvetica Neue" w:cs="Times New Roman"/>
          <w:color w:val="333333"/>
          <w:sz w:val="21"/>
          <w:szCs w:val="21"/>
        </w:rPr>
        <w:t>18</w:t>
      </w:r>
      <w:proofErr w:type="gramEnd"/>
      <w:r w:rsidRPr="00E65BF0">
        <w:rPr>
          <w:rFonts w:ascii="Helvetica Neue" w:hAnsi="Helvetica Neue" w:cs="Times New Roman"/>
          <w:color w:val="333333"/>
          <w:sz w:val="21"/>
          <w:szCs w:val="21"/>
        </w:rPr>
        <w:t xml:space="preserve"> punti su 30. L’orale integrativo permette di aumentare o diminuire il voto dello scritto di circa </w:t>
      </w:r>
      <w:proofErr w:type="gramStart"/>
      <w:r w:rsidRPr="00E65BF0">
        <w:rPr>
          <w:rFonts w:ascii="Helvetica Neue" w:hAnsi="Helvetica Neue" w:cs="Times New Roman"/>
          <w:color w:val="333333"/>
          <w:sz w:val="21"/>
          <w:szCs w:val="21"/>
        </w:rPr>
        <w:t>3</w:t>
      </w:r>
      <w:proofErr w:type="gramEnd"/>
      <w:r w:rsidRPr="00E65BF0">
        <w:rPr>
          <w:rFonts w:ascii="Helvetica Neue" w:hAnsi="Helvetica Neue" w:cs="Times New Roman"/>
          <w:color w:val="333333"/>
          <w:sz w:val="21"/>
          <w:szCs w:val="21"/>
        </w:rPr>
        <w:t xml:space="preserve"> punti. L’unica differenza tra frequentanti e non frequentanti riguarda il programma d’esame.</w:t>
      </w:r>
    </w:p>
    <w:p w:rsidR="00E65BF0" w:rsidRPr="00E65BF0" w:rsidRDefault="00E65BF0" w:rsidP="00E65BF0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E65BF0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Risorse per l’apprendimento</w:t>
      </w:r>
      <w:r w:rsidRPr="00E65BF0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br/>
      </w:r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>Libri di testo</w:t>
      </w:r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E65BF0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Parte Economia Pubblica</w:t>
      </w:r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: R. </w:t>
      </w:r>
      <w:proofErr w:type="spellStart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>Artoni</w:t>
      </w:r>
      <w:proofErr w:type="spellEnd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>, Elementi di Scienza delle Finanze, il Mulino, 2015.</w:t>
      </w:r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Capitoli: </w:t>
      </w:r>
      <w:proofErr w:type="gramStart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>7</w:t>
      </w:r>
      <w:proofErr w:type="gramEnd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>, 8, 9, 10, 11. Appendici I e II. </w:t>
      </w:r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E65BF0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Parte di Economia del Lavoro</w:t>
      </w:r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: G. </w:t>
      </w:r>
      <w:proofErr w:type="spellStart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>Borjas</w:t>
      </w:r>
      <w:proofErr w:type="spellEnd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>, Economia del Lavoro, Brioschi editore, 2013.</w:t>
      </w:r>
      <w:proofErr w:type="gramEnd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Capitoli: </w:t>
      </w:r>
      <w:proofErr w:type="gramStart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>6</w:t>
      </w:r>
      <w:proofErr w:type="gramEnd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>, 7, 9, 12. </w:t>
      </w:r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</w:p>
    <w:p w:rsidR="00E65BF0" w:rsidRPr="00E65BF0" w:rsidRDefault="00E65BF0" w:rsidP="00E65BF0">
      <w:pPr>
        <w:rPr>
          <w:rFonts w:ascii="Times" w:eastAsia="Times New Roman" w:hAnsi="Times" w:cs="Times New Roman"/>
          <w:sz w:val="20"/>
          <w:szCs w:val="20"/>
        </w:rPr>
      </w:pPr>
      <w:r w:rsidRPr="00E65BF0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Docente: Prof. G. Migali</w:t>
      </w:r>
      <w:proofErr w:type="gramStart"/>
      <w:r w:rsidRPr="00E65BF0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   </w:t>
      </w:r>
      <w:r w:rsidRPr="00E65BF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> </w:t>
      </w:r>
      <w:proofErr w:type="gramEnd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</w:p>
    <w:p w:rsidR="00E65BF0" w:rsidRPr="00E65BF0" w:rsidRDefault="00E65BF0" w:rsidP="00E65BF0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>g.migali@unicz.it</w:t>
      </w:r>
    </w:p>
    <w:p w:rsidR="00E65BF0" w:rsidRPr="00E65BF0" w:rsidRDefault="00E65BF0" w:rsidP="00E65BF0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gramStart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>ricevimento</w:t>
      </w:r>
      <w:proofErr w:type="gramEnd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: </w:t>
      </w:r>
      <w:proofErr w:type="spellStart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>martedi</w:t>
      </w:r>
      <w:proofErr w:type="spellEnd"/>
      <w:r w:rsidRPr="00E65BF0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ore 14:00 durante i mesi del corso, oppure tramite prenotazione via e-mail.</w:t>
      </w:r>
    </w:p>
    <w:p w:rsidR="00F379A8" w:rsidRDefault="00F379A8">
      <w:bookmarkStart w:id="0" w:name="_GoBack"/>
      <w:bookmarkEnd w:id="0"/>
    </w:p>
    <w:sectPr w:rsidR="00F379A8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BC5"/>
    <w:multiLevelType w:val="multilevel"/>
    <w:tmpl w:val="7D3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0"/>
    <w:rsid w:val="001C4A72"/>
    <w:rsid w:val="00E65BF0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5B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5B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2019-02-21T15:17:00Z</dcterms:created>
  <dcterms:modified xsi:type="dcterms:W3CDTF">2019-02-21T15:19:00Z</dcterms:modified>
</cp:coreProperties>
</file>