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A" w:rsidRPr="00B76CF5" w:rsidRDefault="00EE4A9A" w:rsidP="00EE4A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0342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Corso di Laurea</w:t>
      </w:r>
      <w:r w:rsidR="00103423">
        <w:rPr>
          <w:rFonts w:ascii="Garamond" w:hAnsi="Garamond"/>
          <w:sz w:val="24"/>
          <w:szCs w:val="24"/>
        </w:rPr>
        <w:t xml:space="preserve"> </w:t>
      </w:r>
      <w:r w:rsidR="00103423" w:rsidRPr="00103423">
        <w:rPr>
          <w:rFonts w:ascii="Garamond" w:hAnsi="Garamond"/>
          <w:b/>
          <w:smallCaps/>
          <w:sz w:val="24"/>
          <w:szCs w:val="24"/>
        </w:rPr>
        <w:t xml:space="preserve">Magistrale </w:t>
      </w:r>
      <w:r w:rsidRPr="00B76CF5">
        <w:rPr>
          <w:rFonts w:ascii="Garamond" w:hAnsi="Garamond"/>
          <w:sz w:val="24"/>
          <w:szCs w:val="24"/>
        </w:rPr>
        <w:t xml:space="preserve"> Giurisprudenza</w:t>
      </w:r>
    </w:p>
    <w:p w:rsidR="0014230E" w:rsidRP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D</w:t>
      </w:r>
      <w:r w:rsidR="007374A9"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enominazione insegnamento</w:t>
      </w:r>
      <w:r w:rsidR="007374A9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="00E64D23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T</w:t>
      </w:r>
      <w:r w:rsidR="0014230E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eoria dei beni e proprietà collettive</w:t>
      </w:r>
    </w:p>
    <w:p w:rsidR="0014230E" w:rsidRPr="00B76CF5" w:rsidRDefault="00F008FD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Settore scientifico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IUS/01</w:t>
      </w:r>
    </w:p>
    <w:p w:rsidR="007374A9" w:rsidRPr="00B76CF5" w:rsidRDefault="007374A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Crediti formativi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Ore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45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Anno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</w:t>
      </w:r>
    </w:p>
    <w:p w:rsidR="00B43F66" w:rsidRPr="00B76CF5" w:rsidRDefault="007374A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Semestre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F07A9" w:rsidRPr="006F07A9">
        <w:rPr>
          <w:rFonts w:ascii="Garamond" w:eastAsia="Times New Roman" w:hAnsi="Garamond" w:cs="Times New Roman"/>
          <w:smallCaps/>
          <w:sz w:val="24"/>
          <w:szCs w:val="24"/>
          <w:lang w:eastAsia="it-IT"/>
        </w:rPr>
        <w:t>Primo</w:t>
      </w:r>
    </w:p>
    <w:p w:rsidR="00B43F66" w:rsidRDefault="00665B8E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2018/2019</w:t>
      </w:r>
      <w:r w:rsidR="00B43F66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 </w:t>
      </w:r>
    </w:p>
    <w:p w:rsidR="00B76CF5" w:rsidRPr="00B76CF5" w:rsidRDefault="00B76CF5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:rsid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Docente</w:t>
      </w:r>
      <w:r w:rsidR="007374A9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="007374A9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Aquila Villella</w:t>
      </w:r>
      <w:r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– </w:t>
      </w: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Professore ordinario </w:t>
      </w:r>
      <w:proofErr w:type="spellStart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Ius</w:t>
      </w:r>
      <w:proofErr w:type="spellEnd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/01 – Diritto privato-</w:t>
      </w:r>
    </w:p>
    <w:p w:rsidR="00B76CF5" w:rsidRPr="00B76CF5" w:rsidRDefault="000E3C19" w:rsidP="00B76CF5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="007374A9" w:rsidRPr="00B76CF5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  <w:r w:rsidR="00704A7B" w:rsidRPr="00B76CF5">
        <w:rPr>
          <w:rFonts w:ascii="Garamond" w:hAnsi="Garamond"/>
          <w:sz w:val="24"/>
          <w:szCs w:val="24"/>
        </w:rPr>
        <w:t xml:space="preserve"> </w:t>
      </w:r>
    </w:p>
    <w:p w:rsidR="00704A7B" w:rsidRPr="00B76CF5" w:rsidRDefault="00A82687" w:rsidP="00A82687">
      <w:pPr>
        <w:spacing w:after="0" w:line="240" w:lineRule="auto"/>
        <w:ind w:firstLine="360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704A7B" w:rsidRPr="00B76CF5">
        <w:rPr>
          <w:rFonts w:ascii="Garamond" w:hAnsi="Garamond"/>
          <w:sz w:val="24"/>
          <w:szCs w:val="24"/>
        </w:rPr>
        <w:t xml:space="preserve">tel. 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0961 3694968</w:t>
      </w:r>
      <w:r w:rsidR="00E953E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374A9" w:rsidRDefault="00A82687" w:rsidP="00B76CF5">
      <w:pPr>
        <w:pStyle w:val="Paragrafoelenco"/>
        <w:numPr>
          <w:ilvl w:val="0"/>
          <w:numId w:val="3"/>
        </w:numPr>
        <w:spacing w:after="0" w:line="240" w:lineRule="auto"/>
        <w:ind w:left="426" w:firstLine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 studenti: ogni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13</w:t>
      </w:r>
      <w:r w:rsidR="00665B8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Dipartimento di Giurisprudenza, Economia e Sociologia</w:t>
      </w:r>
      <w:bookmarkStart w:id="0" w:name="_GoBack"/>
      <w:bookmarkEnd w:id="0"/>
      <w:r w:rsidR="00665B8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665B8E" w:rsidRPr="00665B8E" w:rsidRDefault="00665B8E" w:rsidP="00665B8E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76CF5" w:rsidRDefault="00B76CF5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C158F" w:rsidRPr="00DC158F" w:rsidRDefault="00DC158F" w:rsidP="00DC15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:rsid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 beni. 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Nozioni introduttive: Beni e cose nel codice e nel diritto civile. Beni pubblici, privati e comuni</w:t>
      </w: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proprietà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La proprietà nel sistema delle fonti italiano. Il sistema costituzionale della proprietà (con particolare riguardo alla funzione sociale 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alla libera accessibilità). Le forme di proprietà.</w:t>
      </w:r>
    </w:p>
    <w:p w:rsidR="00DC158F" w:rsidRPr="00DB6C03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 beni comuni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I regimi di appartenenza e l’uso sostenibile delle risorse naturali</w:t>
      </w:r>
      <w:r w:rsidR="00DB6C0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DB6C03" w:rsidRPr="00DC158F" w:rsidRDefault="00DB6C03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Gli usi civici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La privatizzazione dell’acqua.</w:t>
      </w:r>
    </w:p>
    <w:p w:rsidR="00DC158F" w:rsidRPr="00B76CF5" w:rsidRDefault="00DC158F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43633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Organizzazione del corso: </w:t>
      </w:r>
    </w:p>
    <w:p w:rsidR="0014230E" w:rsidRPr="00B76CF5" w:rsidRDefault="0014230E" w:rsidP="00B76CF5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6927F1" w:rsidRPr="00B76CF5" w:rsidRDefault="006927F1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37E0" w:rsidRPr="00B76CF5" w:rsidRDefault="0014230E" w:rsidP="00B76CF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Modalità di erogazione</w:t>
      </w:r>
      <w:r w:rsidRPr="00B76CF5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B76CF5" w:rsidRPr="00B76CF5" w:rsidRDefault="00CB37E0" w:rsidP="00B76CF5">
      <w:pPr>
        <w:pStyle w:val="PreformattatoHTML"/>
        <w:numPr>
          <w:ilvl w:val="0"/>
          <w:numId w:val="5"/>
        </w:numPr>
        <w:jc w:val="both"/>
        <w:outlineLvl w:val="1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/>
          <w:sz w:val="24"/>
          <w:szCs w:val="24"/>
        </w:rPr>
        <w:t>Il corso si svilup</w:t>
      </w:r>
      <w:r w:rsidR="00D43633" w:rsidRPr="00B76CF5">
        <w:rPr>
          <w:rFonts w:ascii="Garamond" w:hAnsi="Garamond"/>
          <w:sz w:val="24"/>
          <w:szCs w:val="24"/>
        </w:rPr>
        <w:t>pa attraverso lezioni frontali alle quali seguono</w:t>
      </w:r>
      <w:r w:rsidRPr="00B76CF5">
        <w:rPr>
          <w:rFonts w:ascii="Garamond" w:hAnsi="Garamond" w:cs="Times New Roman"/>
          <w:sz w:val="24"/>
          <w:szCs w:val="24"/>
        </w:rPr>
        <w:t xml:space="preserve"> discussioni in aula </w:t>
      </w:r>
      <w:r w:rsidR="006D0FA1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>
        <w:rPr>
          <w:rFonts w:ascii="Garamond" w:hAnsi="Garamond" w:cs="Times New Roman"/>
          <w:sz w:val="24"/>
          <w:szCs w:val="24"/>
        </w:rPr>
        <w:t xml:space="preserve">su </w:t>
      </w:r>
      <w:r w:rsidR="006927F1" w:rsidRPr="00B76CF5">
        <w:rPr>
          <w:rFonts w:ascii="Garamond" w:hAnsi="Garamond" w:cs="Times New Roman"/>
          <w:sz w:val="24"/>
          <w:szCs w:val="24"/>
        </w:rPr>
        <w:t>materiali</w:t>
      </w:r>
      <w:r w:rsidR="00F13134">
        <w:rPr>
          <w:rFonts w:ascii="Garamond" w:hAnsi="Garamond" w:cs="Times New Roman"/>
          <w:sz w:val="24"/>
          <w:szCs w:val="24"/>
        </w:rPr>
        <w:t xml:space="preserve"> dottrinali e giurisprudenziali</w:t>
      </w:r>
      <w:r w:rsidR="00167B32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 w:rsidRPr="00B76CF5">
        <w:rPr>
          <w:rFonts w:ascii="Garamond" w:hAnsi="Garamond"/>
          <w:sz w:val="24"/>
          <w:szCs w:val="24"/>
        </w:rPr>
        <w:t>in costante interazione con gli studenti</w:t>
      </w:r>
      <w:r w:rsidR="00F13134">
        <w:rPr>
          <w:rFonts w:ascii="Garamond" w:hAnsi="Garamond"/>
          <w:sz w:val="24"/>
          <w:szCs w:val="24"/>
        </w:rPr>
        <w:t>.</w:t>
      </w:r>
    </w:p>
    <w:p w:rsidR="00CB37E0" w:rsidRPr="00B76CF5" w:rsidRDefault="00CB37E0" w:rsidP="00B76CF5">
      <w:pPr>
        <w:pStyle w:val="PreformattatoHTML"/>
        <w:jc w:val="both"/>
        <w:outlineLvl w:val="1"/>
        <w:rPr>
          <w:rFonts w:ascii="Garamond" w:hAnsi="Garamond" w:cs="Times New Roman"/>
          <w:b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Prerequisiti al corso</w:t>
      </w:r>
    </w:p>
    <w:p w:rsidR="00A422B3" w:rsidRPr="00E1554E" w:rsidRDefault="00CB37E0" w:rsidP="00E1554E">
      <w:pPr>
        <w:pStyle w:val="Paragrafoelenco"/>
        <w:numPr>
          <w:ilvl w:val="0"/>
          <w:numId w:val="4"/>
        </w:num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 presuppongono come acquisite le nozioni essenziali riguardanti gli istituti fondamentali del diritto privato</w:t>
      </w:r>
    </w:p>
    <w:p w:rsidR="00B76CF5" w:rsidRPr="00E1554E" w:rsidRDefault="00B76CF5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Default="00167B32" w:rsidP="00B76CF5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B76CF5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="003B4215" w:rsidRPr="00B76CF5">
        <w:rPr>
          <w:rFonts w:ascii="Garamond" w:hAnsi="Garamond"/>
          <w:sz w:val="24"/>
          <w:szCs w:val="24"/>
        </w:rPr>
        <w:t xml:space="preserve">: </w:t>
      </w:r>
    </w:p>
    <w:p w:rsidR="00B76CF5" w:rsidRPr="00F13134" w:rsidRDefault="003B421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Il corso muovendo dalla teoria generale della proprietà e dalla teoria dei beni si propone  di fornire allo studente gli strumenti per affrontare le nuove problematiche sollevate dal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la complessa tematica dei ‘beni comuni’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67B32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la quale 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comprende sia beni materiali (come la terra, l’acqua, l’aria e la biodiversità), sia beni immateriali (quali i diversi saperi tradizionali, i beni culturali, la scienza e le proprietà intellettuali</w:t>
      </w:r>
      <w:r w:rsidRPr="00F13134">
        <w:rPr>
          <w:rFonts w:ascii="Garamond" w:hAnsi="Garamond"/>
          <w:sz w:val="24"/>
          <w:szCs w:val="24"/>
        </w:rPr>
        <w:t xml:space="preserve">. Particolare attenzione viene posta 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sul</w:t>
      </w: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l’uso sostenibile delle risorse comuni, sull’estensione della proprietà e le limitazioni del mercato negli ambiti riguardanti diritti fondamentali per la vita e lo sviluppo della personalità</w:t>
      </w:r>
      <w:r w:rsidR="00425338" w:rsidRPr="00F13134">
        <w:rPr>
          <w:rFonts w:ascii="Garamond" w:hAnsi="Garamond"/>
          <w:sz w:val="24"/>
          <w:szCs w:val="24"/>
        </w:rPr>
        <w:t xml:space="preserve">. </w:t>
      </w:r>
      <w:r w:rsidRPr="00F13134">
        <w:rPr>
          <w:rFonts w:ascii="Garamond" w:hAnsi="Garamond"/>
          <w:sz w:val="24"/>
          <w:szCs w:val="24"/>
        </w:rPr>
        <w:t>Il corso fornisce agli studenti l’opportunit</w:t>
      </w:r>
      <w:r w:rsidR="00CF2D89" w:rsidRPr="00F13134">
        <w:rPr>
          <w:rFonts w:ascii="Garamond" w:hAnsi="Garamond"/>
          <w:sz w:val="24"/>
          <w:szCs w:val="24"/>
        </w:rPr>
        <w:t>à di: 1) acquisire padronanza dei</w:t>
      </w:r>
      <w:r w:rsidRPr="00F13134">
        <w:rPr>
          <w:rFonts w:ascii="Garamond" w:hAnsi="Garamond"/>
          <w:sz w:val="24"/>
          <w:szCs w:val="24"/>
        </w:rPr>
        <w:t xml:space="preserve"> concetti e </w:t>
      </w:r>
      <w:r w:rsidR="00CF2D89" w:rsidRPr="00F13134">
        <w:rPr>
          <w:rFonts w:ascii="Garamond" w:hAnsi="Garamond"/>
          <w:sz w:val="24"/>
          <w:szCs w:val="24"/>
        </w:rPr>
        <w:t xml:space="preserve">degli </w:t>
      </w:r>
      <w:r w:rsidRPr="00F13134">
        <w:rPr>
          <w:rFonts w:ascii="Garamond" w:hAnsi="Garamond"/>
          <w:sz w:val="24"/>
          <w:szCs w:val="24"/>
        </w:rPr>
        <w:t xml:space="preserve">argomenti tipici della disciplina; </w:t>
      </w:r>
      <w:r w:rsidR="00425338" w:rsidRPr="00F13134">
        <w:rPr>
          <w:rFonts w:ascii="Garamond" w:hAnsi="Garamond"/>
          <w:sz w:val="24"/>
          <w:szCs w:val="24"/>
        </w:rPr>
        <w:t>2</w:t>
      </w:r>
      <w:r w:rsidRPr="00F13134">
        <w:rPr>
          <w:rFonts w:ascii="Garamond" w:hAnsi="Garamond"/>
          <w:sz w:val="24"/>
          <w:szCs w:val="24"/>
        </w:rPr>
        <w:t>) sviluppare capacità di analisi critica su</w:t>
      </w:r>
      <w:r w:rsidR="00CF2D89" w:rsidRPr="00F13134">
        <w:rPr>
          <w:rFonts w:ascii="Garamond" w:hAnsi="Garamond"/>
          <w:sz w:val="24"/>
          <w:szCs w:val="24"/>
        </w:rPr>
        <w:t>i temi connessi.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S</w:t>
      </w:r>
      <w:r w:rsidR="003B4215" w:rsidRPr="00B76CF5">
        <w:rPr>
          <w:rFonts w:ascii="Garamond" w:hAnsi="Garamond"/>
          <w:b/>
          <w:sz w:val="24"/>
          <w:szCs w:val="24"/>
        </w:rPr>
        <w:t>tima dell’impegno orario richiesto per lo studio individuale del program</w:t>
      </w:r>
      <w:r w:rsidRPr="00B76CF5">
        <w:rPr>
          <w:rFonts w:ascii="Garamond" w:hAnsi="Garamond"/>
          <w:b/>
          <w:sz w:val="24"/>
          <w:szCs w:val="24"/>
        </w:rPr>
        <w:t xml:space="preserve">ma </w:t>
      </w:r>
    </w:p>
    <w:p w:rsidR="007137F0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 xml:space="preserve">105 </w:t>
      </w:r>
      <w:r w:rsidR="003B4215" w:rsidRPr="00F13134">
        <w:rPr>
          <w:rFonts w:ascii="Garamond" w:hAnsi="Garamond"/>
          <w:sz w:val="24"/>
          <w:szCs w:val="24"/>
        </w:rPr>
        <w:t xml:space="preserve">ore </w:t>
      </w:r>
      <w:r w:rsidRPr="00F13134">
        <w:rPr>
          <w:rFonts w:ascii="Garamond" w:hAnsi="Garamond"/>
          <w:sz w:val="24"/>
          <w:szCs w:val="24"/>
        </w:rPr>
        <w:t>di studio individuale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Modalità di frequenza</w:t>
      </w:r>
    </w:p>
    <w:p w:rsidR="00B76CF5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>Facoltativa.</w:t>
      </w:r>
    </w:p>
    <w:p w:rsidR="0014230E" w:rsidRDefault="0014230E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61DB" w:rsidRDefault="00FB61DB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Pr="00B76CF5" w:rsidRDefault="00F13134" w:rsidP="00F1313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Pr="005738C9" w:rsidRDefault="005738C9" w:rsidP="00B76CF5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5738C9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>Testi consigliati</w:t>
      </w:r>
    </w:p>
    <w:p w:rsidR="0014230E" w:rsidRPr="00B76CF5" w:rsidRDefault="0014230E" w:rsidP="00B76CF5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Come materiale di riferimento, oltre alle letture 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saggi e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articoli su riviste specializzate, verranno proposte letture su alcuni capitoli dei seguenti libri. Il materiale verrà fornito durante il corso delle lezioni. </w:t>
      </w:r>
    </w:p>
    <w:p w:rsidR="005738C9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P.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Perlingieri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738C9" w:rsidRPr="00B76CF5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U. Mattei, Beni comuni. Un manifesto, Laterza, Roma-Bari (ultima edizione). </w:t>
      </w:r>
    </w:p>
    <w:p w:rsidR="005738C9" w:rsidRPr="00B76CF5" w:rsidRDefault="005738C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V. Donato e G. Romano, (a cura di) Contributi  allo studio delle proprietà collettive. La giurisprudenza del Commissariato per gli usi civici della Calabria, ESI, Napoli, 2014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P. Grossi, Un altro modo di possedere. L'emersione di forme alternative di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proprieta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̀ alla coscienza giuridica postunitaria,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Giuffrè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Milano, 1977.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E.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Ostrom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Governare i beni collettivi, Marsilio, Venezia, 2006.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 S. Rodotà, Il terribile diritto. Studi sulla proprietà privata e i beni comuni, Il Mulino, Bologna, 2013.</w:t>
      </w:r>
    </w:p>
    <w:p w:rsidR="00CB093C" w:rsidRDefault="00CB093C" w:rsidP="00FB61DB">
      <w:pPr>
        <w:spacing w:after="0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/>
        <w:rPr>
          <w:rFonts w:ascii="Garamond" w:hAnsi="Garamond"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Attività di supporto</w:t>
      </w:r>
    </w:p>
    <w:p w:rsidR="00FB61DB" w:rsidRPr="00E60090" w:rsidRDefault="00FB61DB" w:rsidP="00FB61DB">
      <w:pPr>
        <w:pStyle w:val="Paragrafoelenco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L’attività di supporto è svolta direttamente dal docente durante l’orario di ricevimento.</w:t>
      </w: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Metodi e criteri di valutazione dell'apprendimento: </w:t>
      </w:r>
    </w:p>
    <w:p w:rsidR="00FB61DB" w:rsidRPr="001E7747" w:rsidRDefault="00FB61DB" w:rsidP="00FB61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 xml:space="preserve">L’esame consiste in un colloquio orale finalizzato a verificare il grado di </w:t>
      </w:r>
      <w:r>
        <w:rPr>
          <w:rFonts w:ascii="Garamond" w:hAnsi="Garamond"/>
          <w:sz w:val="24"/>
          <w:szCs w:val="24"/>
        </w:rPr>
        <w:t>c</w:t>
      </w:r>
      <w:r w:rsidRPr="001E7747">
        <w:rPr>
          <w:rFonts w:ascii="Garamond" w:hAnsi="Garamond"/>
          <w:sz w:val="24"/>
          <w:szCs w:val="24"/>
        </w:rPr>
        <w:t xml:space="preserve">onoscenza e </w:t>
      </w:r>
      <w:r w:rsidR="00CB093C" w:rsidRPr="001E7747">
        <w:rPr>
          <w:rFonts w:ascii="Garamond" w:hAnsi="Garamond"/>
          <w:sz w:val="24"/>
          <w:szCs w:val="24"/>
        </w:rPr>
        <w:t xml:space="preserve">di </w:t>
      </w:r>
      <w:r w:rsidRPr="001E7747">
        <w:rPr>
          <w:rFonts w:ascii="Garamond" w:hAnsi="Garamond"/>
          <w:sz w:val="24"/>
          <w:szCs w:val="24"/>
        </w:rPr>
        <w:t>comprensione del</w:t>
      </w:r>
      <w:r w:rsidR="00CB093C" w:rsidRPr="001E7747">
        <w:rPr>
          <w:rFonts w:ascii="Garamond" w:hAnsi="Garamond"/>
          <w:sz w:val="24"/>
          <w:szCs w:val="24"/>
        </w:rPr>
        <w:t>la materia</w:t>
      </w:r>
      <w:r w:rsidR="001E7747" w:rsidRPr="001E7747">
        <w:rPr>
          <w:rFonts w:ascii="Garamond" w:hAnsi="Garamond"/>
          <w:sz w:val="24"/>
          <w:szCs w:val="24"/>
        </w:rPr>
        <w:t>.</w:t>
      </w:r>
      <w:r w:rsidR="001E7747">
        <w:rPr>
          <w:rFonts w:ascii="Garamond" w:hAnsi="Garamond"/>
          <w:sz w:val="24"/>
          <w:szCs w:val="24"/>
        </w:rPr>
        <w:t xml:space="preserve"> L</w:t>
      </w:r>
      <w:r w:rsidR="001E7747" w:rsidRPr="001E7747">
        <w:rPr>
          <w:rFonts w:ascii="Garamond" w:hAnsi="Garamond"/>
          <w:sz w:val="24"/>
          <w:szCs w:val="24"/>
        </w:rPr>
        <w:t>a valutazione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</w:t>
      </w:r>
      <w:r w:rsidR="000C7957">
        <w:rPr>
          <w:rFonts w:ascii="Garamond" w:hAnsi="Garamond"/>
          <w:sz w:val="24"/>
          <w:szCs w:val="24"/>
        </w:rPr>
        <w:t xml:space="preserve">ai fini </w:t>
      </w:r>
      <w:r w:rsidR="001E7747" w:rsidRPr="001E7747">
        <w:rPr>
          <w:rFonts w:ascii="Garamond" w:hAnsi="Garamond"/>
          <w:sz w:val="24"/>
          <w:szCs w:val="24"/>
        </w:rPr>
        <w:t>del</w:t>
      </w:r>
      <w:r w:rsidR="000C7957">
        <w:rPr>
          <w:rFonts w:ascii="Garamond" w:hAnsi="Garamond"/>
          <w:sz w:val="24"/>
          <w:szCs w:val="24"/>
        </w:rPr>
        <w:t>l’attribuzione del</w:t>
      </w:r>
      <w:r w:rsidR="001E7747" w:rsidRPr="001E7747">
        <w:rPr>
          <w:rFonts w:ascii="Garamond" w:hAnsi="Garamond"/>
          <w:sz w:val="24"/>
          <w:szCs w:val="24"/>
        </w:rPr>
        <w:t xml:space="preserve"> voto finale (da 18 a 30)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 w:rsidR="00621D7B">
        <w:rPr>
          <w:rFonts w:ascii="Garamond" w:hAnsi="Garamond"/>
          <w:sz w:val="24"/>
          <w:szCs w:val="24"/>
        </w:rPr>
        <w:t>o riportati.</w:t>
      </w:r>
    </w:p>
    <w:p w:rsidR="00FB61DB" w:rsidRPr="001E7747" w:rsidRDefault="00FB61DB" w:rsidP="00FB61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ind w:left="139"/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carenze.</w:t>
            </w:r>
          </w:p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 xml:space="preserve">Significative </w:t>
            </w:r>
            <w:proofErr w:type="spellStart"/>
            <w:r w:rsidRPr="00E60090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Completamente inappropriato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Appena 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approfondito gli argomenti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lastRenderedPageBreak/>
              <w:t>30-30L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approfondimenti</w:t>
            </w:r>
          </w:p>
        </w:tc>
      </w:tr>
    </w:tbl>
    <w:p w:rsidR="00FB61DB" w:rsidRPr="00E60090" w:rsidRDefault="00FB61DB" w:rsidP="00FB61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ED1D7B" w:rsidRPr="00E1554E" w:rsidRDefault="00ED1D7B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ED1D7B" w:rsidRPr="00E1554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1568B588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951E5"/>
    <w:rsid w:val="000C7957"/>
    <w:rsid w:val="000E3C19"/>
    <w:rsid w:val="00103423"/>
    <w:rsid w:val="0011696B"/>
    <w:rsid w:val="0014230E"/>
    <w:rsid w:val="0016286A"/>
    <w:rsid w:val="00167B32"/>
    <w:rsid w:val="00192A48"/>
    <w:rsid w:val="001E7747"/>
    <w:rsid w:val="001F6065"/>
    <w:rsid w:val="002202A2"/>
    <w:rsid w:val="00384891"/>
    <w:rsid w:val="003B4215"/>
    <w:rsid w:val="00425338"/>
    <w:rsid w:val="0055346F"/>
    <w:rsid w:val="005738C9"/>
    <w:rsid w:val="006029B9"/>
    <w:rsid w:val="00621D7B"/>
    <w:rsid w:val="00665B8E"/>
    <w:rsid w:val="006927F1"/>
    <w:rsid w:val="006B02B4"/>
    <w:rsid w:val="006D0FA1"/>
    <w:rsid w:val="006F07A9"/>
    <w:rsid w:val="00704A7B"/>
    <w:rsid w:val="007137F0"/>
    <w:rsid w:val="007374A9"/>
    <w:rsid w:val="00784C2C"/>
    <w:rsid w:val="00854E2B"/>
    <w:rsid w:val="008C2BF1"/>
    <w:rsid w:val="00A422B3"/>
    <w:rsid w:val="00A47502"/>
    <w:rsid w:val="00A82687"/>
    <w:rsid w:val="00AD03D4"/>
    <w:rsid w:val="00B43F66"/>
    <w:rsid w:val="00B705DC"/>
    <w:rsid w:val="00B76CF5"/>
    <w:rsid w:val="00CB093C"/>
    <w:rsid w:val="00CB2B5C"/>
    <w:rsid w:val="00CB37E0"/>
    <w:rsid w:val="00CB421E"/>
    <w:rsid w:val="00CC099D"/>
    <w:rsid w:val="00CF2D89"/>
    <w:rsid w:val="00CF3837"/>
    <w:rsid w:val="00D43633"/>
    <w:rsid w:val="00D64898"/>
    <w:rsid w:val="00DB6C03"/>
    <w:rsid w:val="00DC158F"/>
    <w:rsid w:val="00E1554E"/>
    <w:rsid w:val="00E64D23"/>
    <w:rsid w:val="00E953E2"/>
    <w:rsid w:val="00ED1D7B"/>
    <w:rsid w:val="00ED4CDE"/>
    <w:rsid w:val="00EE4A9A"/>
    <w:rsid w:val="00F008FD"/>
    <w:rsid w:val="00F04EF2"/>
    <w:rsid w:val="00F13134"/>
    <w:rsid w:val="00FB61DB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2019-07-26T15:13:00Z</dcterms:created>
  <dcterms:modified xsi:type="dcterms:W3CDTF">2019-07-26T15:32:00Z</dcterms:modified>
</cp:coreProperties>
</file>