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5" w:rsidRPr="0017056D" w:rsidRDefault="00903505" w:rsidP="00903505">
      <w:pPr>
        <w:rPr>
          <w:rFonts w:ascii="Garamond" w:hAnsi="Garamond"/>
          <w:smallCaps/>
        </w:rPr>
      </w:pPr>
      <w:r w:rsidRPr="001C7218">
        <w:rPr>
          <w:rFonts w:ascii="Garamond" w:hAnsi="Garamond"/>
          <w:b/>
          <w:bCs/>
          <w:smallCaps/>
        </w:rPr>
        <w:t>Corso di Laurea</w:t>
      </w:r>
      <w:r>
        <w:rPr>
          <w:rFonts w:ascii="Garamond" w:hAnsi="Garamond"/>
          <w:b/>
          <w:bCs/>
          <w:smallCaps/>
        </w:rPr>
        <w:t>:</w:t>
      </w:r>
      <w:r w:rsidRPr="001C7218">
        <w:rPr>
          <w:rFonts w:ascii="Garamond" w:hAnsi="Garamond"/>
          <w:b/>
          <w:bCs/>
          <w:smallCaps/>
        </w:rPr>
        <w:t xml:space="preserve"> </w:t>
      </w:r>
      <w:r w:rsidRPr="00903505">
        <w:rPr>
          <w:rFonts w:ascii="Garamond" w:hAnsi="Garamond"/>
          <w:bCs/>
          <w:smallCaps/>
        </w:rPr>
        <w:t>Sociologia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  <w:kern w:val="36"/>
        </w:rPr>
        <w:t>Denominazione insegnamento</w:t>
      </w:r>
      <w:r w:rsidRPr="0075585E">
        <w:rPr>
          <w:rFonts w:ascii="Garamond" w:hAnsi="Garamond"/>
          <w:bCs/>
          <w:kern w:val="36"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Diritto Privato </w:t>
      </w:r>
    </w:p>
    <w:p w:rsidR="00903505" w:rsidRPr="0075585E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Settore scientifico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</w:rPr>
        <w:t>IUS/01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Crediti formativi</w:t>
      </w:r>
      <w:r w:rsidRPr="0075585E">
        <w:rPr>
          <w:rFonts w:ascii="Garamond" w:hAnsi="Garamond"/>
          <w:bCs/>
        </w:rPr>
        <w:t xml:space="preserve"> :</w:t>
      </w:r>
      <w:r w:rsidRPr="007558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6 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</w:rPr>
        <w:t>Ore</w:t>
      </w:r>
      <w:r w:rsidRPr="0075585E">
        <w:rPr>
          <w:rFonts w:ascii="Garamond" w:hAnsi="Garamond"/>
          <w:bCs/>
        </w:rPr>
        <w:t>:</w:t>
      </w:r>
      <w:r w:rsidRPr="0075585E">
        <w:rPr>
          <w:rFonts w:ascii="Garamond" w:hAnsi="Garamond"/>
        </w:rPr>
        <w:t xml:space="preserve"> </w:t>
      </w:r>
      <w:r w:rsidR="00E138EA">
        <w:rPr>
          <w:rFonts w:ascii="Garamond" w:hAnsi="Garamond"/>
        </w:rPr>
        <w:t>36</w:t>
      </w:r>
    </w:p>
    <w:p w:rsidR="00903505" w:rsidRDefault="00903505" w:rsidP="00903505">
      <w:pPr>
        <w:rPr>
          <w:rFonts w:ascii="Garamond" w:hAnsi="Garamond"/>
          <w:bCs/>
        </w:rPr>
      </w:pPr>
      <w:r>
        <w:rPr>
          <w:rFonts w:ascii="Garamond" w:hAnsi="Garamond"/>
        </w:rPr>
        <w:t>Secondo</w:t>
      </w:r>
      <w:r w:rsidRPr="0075585E">
        <w:rPr>
          <w:rFonts w:ascii="Garamond" w:hAnsi="Garamond"/>
          <w:bCs/>
          <w:smallCaps/>
        </w:rPr>
        <w:t xml:space="preserve"> </w:t>
      </w:r>
      <w:r w:rsidRPr="0075585E">
        <w:rPr>
          <w:rFonts w:ascii="Garamond" w:hAnsi="Garamond"/>
          <w:bCs/>
        </w:rPr>
        <w:t>anno</w:t>
      </w:r>
      <w:r>
        <w:rPr>
          <w:rFonts w:ascii="Garamond" w:hAnsi="Garamond"/>
          <w:bCs/>
        </w:rPr>
        <w:t>-</w:t>
      </w:r>
    </w:p>
    <w:p w:rsidR="00903505" w:rsidRPr="0075585E" w:rsidRDefault="00903505" w:rsidP="00903505">
      <w:pPr>
        <w:rPr>
          <w:rFonts w:ascii="Garamond" w:hAnsi="Garamond"/>
        </w:rPr>
      </w:pPr>
      <w:r>
        <w:rPr>
          <w:rFonts w:ascii="Garamond" w:hAnsi="Garamond"/>
          <w:bCs/>
        </w:rPr>
        <w:t>Primo</w:t>
      </w:r>
      <w:r w:rsidRPr="0075585E">
        <w:rPr>
          <w:rFonts w:ascii="Garamond" w:hAnsi="Garamond"/>
          <w:bCs/>
        </w:rPr>
        <w:t xml:space="preserve"> semestre: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Cs/>
          <w:kern w:val="36"/>
        </w:rPr>
        <w:t>A.A. 201</w:t>
      </w:r>
      <w:r w:rsidR="00CE7021">
        <w:rPr>
          <w:rFonts w:ascii="Garamond" w:hAnsi="Garamond"/>
          <w:bCs/>
          <w:kern w:val="36"/>
        </w:rPr>
        <w:t>8</w:t>
      </w:r>
      <w:r w:rsidRPr="0075585E">
        <w:rPr>
          <w:rFonts w:ascii="Garamond" w:hAnsi="Garamond"/>
          <w:bCs/>
          <w:kern w:val="36"/>
        </w:rPr>
        <w:t>/201</w:t>
      </w:r>
      <w:r w:rsidR="00CE7021">
        <w:rPr>
          <w:rFonts w:ascii="Garamond" w:hAnsi="Garamond"/>
          <w:bCs/>
          <w:kern w:val="36"/>
        </w:rPr>
        <w:t>9</w:t>
      </w:r>
      <w:r w:rsidRPr="0075585E">
        <w:rPr>
          <w:rFonts w:ascii="Garamond" w:hAnsi="Garamond"/>
          <w:bCs/>
          <w:kern w:val="36"/>
        </w:rPr>
        <w:t xml:space="preserve"> 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</w:rPr>
        <w:t>Docente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Aquila Villella – </w:t>
      </w:r>
      <w:r w:rsidRPr="0075585E">
        <w:rPr>
          <w:rFonts w:ascii="Garamond" w:hAnsi="Garamond"/>
          <w:bCs/>
          <w:kern w:val="36"/>
        </w:rPr>
        <w:t xml:space="preserve">Professore ordinario </w:t>
      </w:r>
      <w:proofErr w:type="spellStart"/>
      <w:r w:rsidRPr="0075585E">
        <w:rPr>
          <w:rFonts w:ascii="Garamond" w:hAnsi="Garamond"/>
          <w:bCs/>
          <w:kern w:val="36"/>
        </w:rPr>
        <w:t>Ius</w:t>
      </w:r>
      <w:proofErr w:type="spellEnd"/>
      <w:r w:rsidRPr="0075585E">
        <w:rPr>
          <w:rFonts w:ascii="Garamond" w:hAnsi="Garamond"/>
          <w:bCs/>
          <w:kern w:val="36"/>
        </w:rPr>
        <w:t>/01 – Diritto privato-</w:t>
      </w:r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5585E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Pr="0075585E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5585E">
        <w:rPr>
          <w:rFonts w:ascii="Garamond" w:hAnsi="Garamond"/>
          <w:sz w:val="24"/>
          <w:szCs w:val="24"/>
        </w:rPr>
        <w:t xml:space="preserve">tel. </w:t>
      </w: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0961 3694968)</w:t>
      </w:r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ricevimento: mercoledì ore 9.30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Pr="0075585E" w:rsidRDefault="00903505" w:rsidP="00903505">
      <w:pPr>
        <w:jc w:val="both"/>
        <w:outlineLvl w:val="1"/>
        <w:rPr>
          <w:rFonts w:ascii="Garamond" w:hAnsi="Garamond"/>
        </w:rPr>
      </w:pPr>
      <w:r w:rsidRPr="0075585E">
        <w:rPr>
          <w:rFonts w:ascii="Garamond" w:hAnsi="Garamond"/>
          <w:b/>
          <w:smallCaps/>
        </w:rPr>
        <w:t>Descrizione, obiettivi formativi del corso e risultati di apprendimento attesi</w:t>
      </w:r>
      <w:r w:rsidRPr="0075585E">
        <w:rPr>
          <w:rFonts w:ascii="Garamond" w:hAnsi="Garamond"/>
        </w:rPr>
        <w:t xml:space="preserve">: </w:t>
      </w:r>
    </w:p>
    <w:p w:rsidR="00AD703F" w:rsidRPr="00AD703F" w:rsidRDefault="00903505" w:rsidP="00AD703F">
      <w:pPr>
        <w:pStyle w:val="Paragrafoelenco"/>
        <w:numPr>
          <w:ilvl w:val="0"/>
          <w:numId w:val="7"/>
        </w:numPr>
        <w:jc w:val="both"/>
        <w:outlineLvl w:val="1"/>
        <w:rPr>
          <w:rFonts w:ascii="Garamond" w:hAnsi="Garamond"/>
        </w:rPr>
      </w:pPr>
      <w:r w:rsidRPr="00AD703F">
        <w:rPr>
          <w:rFonts w:ascii="Garamond" w:hAnsi="Garamond"/>
        </w:rPr>
        <w:t xml:space="preserve">Il corso si </w:t>
      </w:r>
      <w:r w:rsidR="00AD703F" w:rsidRPr="00AD703F">
        <w:rPr>
          <w:rFonts w:ascii="Garamond" w:hAnsi="Garamond"/>
        </w:rPr>
        <w:t xml:space="preserve">sviluppa in 36 ore di didattica frontale e si </w:t>
      </w:r>
      <w:r w:rsidRPr="00AD703F">
        <w:rPr>
          <w:rFonts w:ascii="Garamond" w:hAnsi="Garamond"/>
        </w:rPr>
        <w:t xml:space="preserve">propone di fornire agli studenti le nozioni </w:t>
      </w:r>
      <w:r w:rsidR="00AD703F" w:rsidRPr="00AD703F">
        <w:rPr>
          <w:rFonts w:ascii="Garamond" w:hAnsi="Garamond"/>
        </w:rPr>
        <w:t>essenziali</w:t>
      </w:r>
      <w:r w:rsidRPr="00AD703F">
        <w:rPr>
          <w:rFonts w:ascii="Garamond" w:hAnsi="Garamond"/>
        </w:rPr>
        <w:t xml:space="preserve"> del diritto privato</w:t>
      </w:r>
      <w:r w:rsidR="00AD703F" w:rsidRPr="00AD703F">
        <w:rPr>
          <w:rFonts w:ascii="Garamond" w:hAnsi="Garamond"/>
        </w:rPr>
        <w:t xml:space="preserve"> con</w:t>
      </w:r>
      <w:r w:rsidRPr="00AD703F">
        <w:rPr>
          <w:rFonts w:ascii="Garamond" w:hAnsi="Garamond"/>
        </w:rPr>
        <w:t xml:space="preserve"> </w:t>
      </w:r>
      <w:r w:rsidR="00AD703F" w:rsidRPr="00AD703F">
        <w:rPr>
          <w:rFonts w:ascii="Garamond" w:hAnsi="Garamond"/>
        </w:rPr>
        <w:t>particolare attenzione ai principi generali, alla tutela della persona, ai fenomeni associativi ed al diritto di famiglia. Il corso fornisce agli studenti l’opportunità di: 1) acquisire padronanza dei concetti e degli argomenti della disciplina; 2) sviluppare capacità di analisi critica sui temi connessi.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Default="00903505" w:rsidP="00903505">
      <w:pPr>
        <w:jc w:val="both"/>
        <w:rPr>
          <w:rFonts w:ascii="Garamond" w:hAnsi="Garamond"/>
          <w:b/>
          <w:bCs/>
          <w:smallCaps/>
        </w:rPr>
      </w:pPr>
      <w:r w:rsidRPr="0075585E">
        <w:rPr>
          <w:rFonts w:ascii="Garamond" w:hAnsi="Garamond"/>
          <w:b/>
          <w:bCs/>
          <w:smallCaps/>
        </w:rPr>
        <w:t>Programma</w:t>
      </w:r>
    </w:p>
    <w:p w:rsidR="00903505" w:rsidRPr="0075585E" w:rsidRDefault="00903505" w:rsidP="00903505">
      <w:pPr>
        <w:jc w:val="both"/>
        <w:rPr>
          <w:rFonts w:ascii="Garamond" w:hAnsi="Garamond"/>
          <w:b/>
          <w:bCs/>
          <w:smallCaps/>
        </w:rPr>
      </w:pP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iCs/>
        </w:rPr>
      </w:pPr>
      <w:r w:rsidRPr="00AD703F">
        <w:rPr>
          <w:rFonts w:ascii="Garamond" w:hAnsi="Garamond"/>
          <w:b/>
          <w:bCs/>
        </w:rPr>
        <w:t xml:space="preserve">Nozioni introduttive e principi fondamentali. </w:t>
      </w:r>
      <w:r w:rsidRPr="00AD703F">
        <w:rPr>
          <w:rFonts w:ascii="Garamond" w:hAnsi="Garamond"/>
        </w:rPr>
        <w:t xml:space="preserve">Realtà sociale e ordinamento giuridico. </w:t>
      </w:r>
      <w:r w:rsidRPr="00AD703F">
        <w:rPr>
          <w:rFonts w:ascii="Garamond" w:hAnsi="Garamond"/>
          <w:iCs/>
        </w:rPr>
        <w:t xml:space="preserve">Fonti del diritto. Principi. Fatto ed effetto giuridico. Situazioni giuridiche soggettive e rapporto giuridico. Metodo giuridico e interpretazione della legge. Le norme nello spazio e nel tempo.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Persone fisiche e giuridiche</w:t>
      </w:r>
      <w:r w:rsidRPr="00AD703F">
        <w:rPr>
          <w:rFonts w:ascii="Garamond" w:hAnsi="Garamond"/>
          <w:b/>
          <w:bCs/>
          <w:iCs/>
        </w:rPr>
        <w:t>.</w:t>
      </w:r>
      <w:r w:rsidRPr="00AD703F">
        <w:rPr>
          <w:rFonts w:ascii="Garamond" w:hAnsi="Garamond"/>
        </w:rPr>
        <w:t xml:space="preserve"> </w:t>
      </w:r>
      <w:r w:rsidRPr="00AD703F">
        <w:rPr>
          <w:rFonts w:ascii="Garamond" w:hAnsi="Garamond"/>
          <w:iCs/>
        </w:rPr>
        <w:t>Persona umana e soggetto di diritto: Nascita ed esistenza. Capacità giuridica. Residenza e domicilio. Scomparsa, assenza e morte presunta. Morte. Capacità d'agire. Cause di esclusione e cause limitative della capacità d'agire. Amministrazione di sostegno. Incapacità naturale. Responsabilità genitoriale, tutela e curatela. Persone giuridiche: associazioni riconosciute e non riconosciute; Associazioni di volontariato. Fondazioni. Comitati.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Situazioni giuridiche esistenziali</w:t>
      </w:r>
      <w:r w:rsidRPr="00AD703F">
        <w:rPr>
          <w:rFonts w:ascii="Garamond" w:hAnsi="Garamond"/>
          <w:iCs/>
        </w:rPr>
        <w:t xml:space="preserve">. Statuto delle situazioni esistenziali. Diritto alla vita ed all'integrità psicofisica. Diritto alla salute. Diritto all'onore ed alla </w:t>
      </w:r>
      <w:r w:rsidRPr="00AD703F">
        <w:rPr>
          <w:rFonts w:ascii="Garamond" w:hAnsi="Garamond"/>
          <w:iCs/>
        </w:rPr>
        <w:lastRenderedPageBreak/>
        <w:t>reputazione. Diritto all'immagine. Diritto alla riservatezza. Diritto all'informazione. Diritto all'istruzione ed all'educazione. Diritto all'identità personale ed identificazione. La persona umana nelle formazioni sociali. Lesioni delle situazioni esistenziali e strumenti di tutela.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AD703F">
        <w:rPr>
          <w:rFonts w:ascii="Garamond" w:hAnsi="Garamond"/>
          <w:b/>
          <w:iCs/>
        </w:rPr>
        <w:t>Famiglia e rapporti parentali</w:t>
      </w:r>
      <w:r w:rsidRPr="00AD703F">
        <w:rPr>
          <w:rFonts w:ascii="Garamond" w:hAnsi="Garamond"/>
        </w:rPr>
        <w:t xml:space="preserve">: forme matrimoniali, unioni civili e convivenze. Rapporti personali. Rapporti patrimoniali. Crisi dei rapporti familiari. Filiazione. Adozione e affidamenti. </w:t>
      </w:r>
    </w:p>
    <w:p w:rsidR="00903505" w:rsidRPr="00042A77" w:rsidRDefault="00903505" w:rsidP="00903505">
      <w:pPr>
        <w:jc w:val="both"/>
        <w:rPr>
          <w:rFonts w:ascii="Garamond" w:hAnsi="Garamond"/>
          <w:b/>
          <w:bCs/>
        </w:rPr>
      </w:pPr>
    </w:p>
    <w:p w:rsidR="00903505" w:rsidRPr="0075585E" w:rsidRDefault="00903505" w:rsidP="00903505">
      <w:pPr>
        <w:ind w:left="360"/>
        <w:jc w:val="both"/>
        <w:rPr>
          <w:rFonts w:ascii="Garamond" w:hAnsi="Garamond"/>
          <w:bCs/>
        </w:rPr>
      </w:pPr>
    </w:p>
    <w:p w:rsidR="00903505" w:rsidRPr="00E203CA" w:rsidRDefault="00903505" w:rsidP="00903505">
      <w:pPr>
        <w:jc w:val="both"/>
        <w:rPr>
          <w:rFonts w:ascii="Garamond" w:hAnsi="Garamond"/>
          <w:b/>
          <w:smallCaps/>
        </w:rPr>
      </w:pPr>
      <w:r w:rsidRPr="00E203CA">
        <w:rPr>
          <w:rFonts w:ascii="Garamond" w:hAnsi="Garamond"/>
          <w:b/>
          <w:smallCaps/>
        </w:rPr>
        <w:t>Testi consigliati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  <w:bCs/>
        </w:rPr>
        <w:t xml:space="preserve">P. PERLINGIERI, </w:t>
      </w:r>
      <w:r>
        <w:rPr>
          <w:rFonts w:ascii="Garamond" w:hAnsi="Garamond"/>
          <w:bCs/>
          <w:i/>
          <w:iCs/>
        </w:rPr>
        <w:t>Manuale di diritto civile</w:t>
      </w:r>
      <w:r w:rsidRPr="0075585E">
        <w:rPr>
          <w:rFonts w:ascii="Garamond" w:hAnsi="Garamond"/>
        </w:rPr>
        <w:t xml:space="preserve">, ESI, Napoli,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 xml:space="preserve">. ed. 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</w:rPr>
        <w:t xml:space="preserve">- </w:t>
      </w:r>
      <w:r w:rsidRPr="0075585E">
        <w:rPr>
          <w:rFonts w:ascii="Garamond" w:hAnsi="Garamond"/>
          <w:bCs/>
        </w:rPr>
        <w:t xml:space="preserve">A. TORRENTE - P. SCHLESINGER, </w:t>
      </w:r>
      <w:r w:rsidRPr="0075585E">
        <w:rPr>
          <w:rFonts w:ascii="Garamond" w:hAnsi="Garamond"/>
          <w:bCs/>
          <w:i/>
          <w:iCs/>
        </w:rPr>
        <w:t>Manuale di diritto privato</w:t>
      </w:r>
      <w:r w:rsidRPr="0075585E">
        <w:rPr>
          <w:rFonts w:ascii="Garamond" w:hAnsi="Garamond"/>
          <w:bCs/>
        </w:rPr>
        <w:t>,</w:t>
      </w:r>
      <w:r w:rsidRPr="0075585E">
        <w:rPr>
          <w:rFonts w:ascii="Garamond" w:hAnsi="Garamond"/>
        </w:rPr>
        <w:t xml:space="preserve"> </w:t>
      </w:r>
      <w:proofErr w:type="spellStart"/>
      <w:r w:rsidRPr="0075585E">
        <w:rPr>
          <w:rFonts w:ascii="Garamond" w:hAnsi="Garamond"/>
        </w:rPr>
        <w:t>Giuffrè</w:t>
      </w:r>
      <w:proofErr w:type="spellEnd"/>
      <w:r w:rsidRPr="0075585E">
        <w:rPr>
          <w:rFonts w:ascii="Garamond" w:hAnsi="Garamond"/>
        </w:rPr>
        <w:t xml:space="preserve">, Milano,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>. ed.</w:t>
      </w:r>
    </w:p>
    <w:p w:rsidR="00903505" w:rsidRPr="00DD0CC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1C7218">
        <w:rPr>
          <w:rFonts w:ascii="Garamond" w:hAnsi="Garamond"/>
        </w:rPr>
        <w:t>La preparazione dovrà essere supportata dalla consultazione del codice civile e delle principali leggi complementari</w:t>
      </w:r>
      <w:r w:rsidRPr="0075585E">
        <w:rPr>
          <w:rFonts w:ascii="Garamond" w:hAnsi="Garamond"/>
        </w:rPr>
        <w:t>.</w:t>
      </w:r>
    </w:p>
    <w:p w:rsidR="00903505" w:rsidRPr="0075585E" w:rsidRDefault="00903505" w:rsidP="00903505">
      <w:pPr>
        <w:rPr>
          <w:rFonts w:ascii="Garamond" w:hAnsi="Garamond"/>
          <w:b/>
          <w:bCs/>
        </w:rPr>
      </w:pPr>
      <w:r w:rsidRPr="0075585E">
        <w:rPr>
          <w:rFonts w:ascii="Garamond" w:hAnsi="Garamond"/>
          <w:b/>
          <w:bCs/>
          <w:smallCaps/>
        </w:rPr>
        <w:t>Organizzazione del corso</w:t>
      </w:r>
      <w:r w:rsidRPr="0075585E">
        <w:rPr>
          <w:rFonts w:ascii="Garamond" w:hAnsi="Garamond"/>
          <w:b/>
          <w:bCs/>
        </w:rPr>
        <w:t xml:space="preserve">: </w:t>
      </w:r>
    </w:p>
    <w:p w:rsidR="00903505" w:rsidRPr="00CE7021" w:rsidRDefault="00903505" w:rsidP="00903505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 w:rsidRPr="00AD703F">
        <w:rPr>
          <w:rFonts w:ascii="Garamond" w:hAnsi="Garamond"/>
        </w:rPr>
        <w:t>Lezioni, Seminari</w:t>
      </w:r>
      <w:bookmarkStart w:id="0" w:name="_GoBack"/>
      <w:bookmarkEnd w:id="0"/>
    </w:p>
    <w:p w:rsidR="00903505" w:rsidRPr="0075585E" w:rsidRDefault="00903505" w:rsidP="0090350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 w:cs="Times New Roman"/>
          <w:b/>
          <w:bCs/>
          <w:smallCaps/>
          <w:sz w:val="24"/>
          <w:szCs w:val="24"/>
        </w:rPr>
        <w:t>Modalità di erogazione</w:t>
      </w:r>
      <w:r w:rsidRPr="0075585E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903505" w:rsidRPr="0075585E" w:rsidRDefault="00903505" w:rsidP="00903505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Il corso si sviluppa attraverso lezioni frontali alle quali seguono</w:t>
      </w:r>
      <w:r w:rsidRPr="0075585E">
        <w:rPr>
          <w:rFonts w:ascii="Garamond" w:hAnsi="Garamond" w:cs="Times New Roman"/>
          <w:sz w:val="24"/>
          <w:szCs w:val="24"/>
        </w:rPr>
        <w:t xml:space="preserve"> discussioni in aula su casi giurisprudenziali </w:t>
      </w:r>
      <w:r w:rsidRPr="0075585E">
        <w:rPr>
          <w:rFonts w:ascii="Garamond" w:hAnsi="Garamond"/>
          <w:sz w:val="24"/>
          <w:szCs w:val="24"/>
        </w:rPr>
        <w:t>in costante interazione con gli studenti.</w:t>
      </w:r>
    </w:p>
    <w:p w:rsidR="00903505" w:rsidRPr="00DD0CC5" w:rsidRDefault="00903505" w:rsidP="00903505">
      <w:pPr>
        <w:jc w:val="both"/>
        <w:outlineLvl w:val="1"/>
        <w:rPr>
          <w:rFonts w:ascii="Garamond" w:hAnsi="Garamond"/>
        </w:rPr>
      </w:pPr>
    </w:p>
    <w:p w:rsidR="00903505" w:rsidRPr="00DD0CC5" w:rsidRDefault="00903505" w:rsidP="00903505">
      <w:pPr>
        <w:jc w:val="both"/>
        <w:outlineLvl w:val="1"/>
        <w:rPr>
          <w:rFonts w:ascii="Garamond" w:hAnsi="Garamond"/>
          <w:b/>
          <w:smallCaps/>
        </w:rPr>
      </w:pPr>
      <w:r w:rsidRPr="00DD0CC5">
        <w:rPr>
          <w:rFonts w:ascii="Garamond" w:hAnsi="Garamond"/>
          <w:b/>
          <w:smallCaps/>
        </w:rPr>
        <w:t>Modalità di frequenza</w:t>
      </w:r>
    </w:p>
    <w:p w:rsidR="00903505" w:rsidRPr="0075585E" w:rsidRDefault="00903505" w:rsidP="00903505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Facoltativa.</w:t>
      </w:r>
    </w:p>
    <w:p w:rsidR="00903505" w:rsidRPr="00DD0CC5" w:rsidRDefault="00903505" w:rsidP="00903505">
      <w:pPr>
        <w:rPr>
          <w:rFonts w:ascii="Garamond" w:hAnsi="Garamond"/>
          <w:smallCaps/>
        </w:rPr>
      </w:pPr>
      <w:r w:rsidRPr="00DD0CC5">
        <w:rPr>
          <w:rFonts w:ascii="Garamond" w:hAnsi="Garamond"/>
          <w:b/>
          <w:smallCaps/>
        </w:rPr>
        <w:t>Attività di supporto</w:t>
      </w:r>
    </w:p>
    <w:p w:rsidR="00903505" w:rsidRPr="00DD0CC5" w:rsidRDefault="00903505" w:rsidP="00903505">
      <w:pPr>
        <w:pStyle w:val="Paragrafoelenco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Seminari ed incontri con tutor</w:t>
      </w:r>
    </w:p>
    <w:p w:rsidR="00903505" w:rsidRPr="0075585E" w:rsidRDefault="00903505" w:rsidP="00903505">
      <w:pPr>
        <w:rPr>
          <w:rFonts w:ascii="Garamond" w:hAnsi="Garamond"/>
          <w:b/>
        </w:rPr>
      </w:pPr>
    </w:p>
    <w:p w:rsidR="00903505" w:rsidRPr="00DD0CC5" w:rsidRDefault="00903505" w:rsidP="00903505">
      <w:pPr>
        <w:rPr>
          <w:rFonts w:ascii="Garamond" w:hAnsi="Garamond"/>
          <w:b/>
          <w:smallCaps/>
        </w:rPr>
      </w:pPr>
      <w:r w:rsidRPr="00DD0CC5">
        <w:rPr>
          <w:rFonts w:ascii="Garamond" w:hAnsi="Garamond"/>
          <w:b/>
          <w:smallCaps/>
        </w:rPr>
        <w:t xml:space="preserve">Metodi e criteri di valutazione dell'apprendimento: </w:t>
      </w:r>
    </w:p>
    <w:p w:rsidR="00903505" w:rsidRPr="0075585E" w:rsidRDefault="00903505" w:rsidP="009035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 xml:space="preserve">L’esame consiste in un colloquio orale finalizzato a verificare il grado di assimilazione e comprensione del programma svolto a lezione e contenuto nei libri di testo consigliati. </w:t>
      </w:r>
      <w:r w:rsidRPr="008A340C">
        <w:rPr>
          <w:rFonts w:ascii="Garamond" w:hAnsi="Garamond"/>
          <w:sz w:val="24"/>
          <w:szCs w:val="24"/>
        </w:rPr>
        <w:t>L’apprendimento non do</w:t>
      </w:r>
      <w:r w:rsidR="00AD703F">
        <w:rPr>
          <w:rFonts w:ascii="Garamond" w:hAnsi="Garamond"/>
          <w:sz w:val="24"/>
          <w:szCs w:val="24"/>
        </w:rPr>
        <w:t>vrà essere mnemonico ma critico</w:t>
      </w:r>
      <w:r w:rsidRPr="008A340C">
        <w:rPr>
          <w:rFonts w:ascii="Garamond" w:hAnsi="Garamond"/>
          <w:sz w:val="24"/>
          <w:szCs w:val="24"/>
        </w:rPr>
        <w:t xml:space="preserve"> e dovrà denotare la capacità di proiettare le nozioni teoriche sul piano dell’applicazione pratica</w:t>
      </w:r>
    </w:p>
    <w:p w:rsidR="00903505" w:rsidRPr="0075585E" w:rsidRDefault="00903505" w:rsidP="00903505">
      <w:pPr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 xml:space="preserve">Conoscenza e </w:t>
            </w: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>comprensione argomento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Capacità di </w:t>
            </w: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>analisi e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Utilizzo di </w:t>
            </w: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>referenze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>Non idoneo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ind w:left="139"/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carenze.</w:t>
            </w:r>
          </w:p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Significative </w:t>
            </w:r>
            <w:proofErr w:type="spellStart"/>
            <w:r w:rsidRPr="0075585E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Completamente inappropriato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Appena 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approfondito gli argomenti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approfondimenti</w:t>
            </w:r>
          </w:p>
        </w:tc>
      </w:tr>
    </w:tbl>
    <w:p w:rsidR="00903505" w:rsidRPr="0075585E" w:rsidRDefault="00903505" w:rsidP="00903505">
      <w:pPr>
        <w:jc w:val="both"/>
        <w:rPr>
          <w:rFonts w:ascii="Garamond" w:hAnsi="Garamond"/>
          <w:bCs/>
        </w:rPr>
      </w:pPr>
    </w:p>
    <w:p w:rsidR="00903505" w:rsidRPr="001C7218" w:rsidRDefault="00903505" w:rsidP="00903505">
      <w:pPr>
        <w:pStyle w:val="Paragrafoelenco"/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ED4CDE" w:rsidRDefault="00ED4CDE"/>
    <w:sectPr w:rsidR="00ED4CD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DB1"/>
    <w:multiLevelType w:val="hybridMultilevel"/>
    <w:tmpl w:val="A7F6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8B6"/>
    <w:multiLevelType w:val="hybridMultilevel"/>
    <w:tmpl w:val="EE7EE480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13AF"/>
    <w:multiLevelType w:val="hybridMultilevel"/>
    <w:tmpl w:val="8C564E2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18FF"/>
    <w:multiLevelType w:val="hybridMultilevel"/>
    <w:tmpl w:val="D3EECAA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5"/>
    <w:rsid w:val="006B02B4"/>
    <w:rsid w:val="00903505"/>
    <w:rsid w:val="00AD703F"/>
    <w:rsid w:val="00CE7021"/>
    <w:rsid w:val="00E138EA"/>
    <w:rsid w:val="00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2018-11-04T09:46:00Z</dcterms:created>
  <dcterms:modified xsi:type="dcterms:W3CDTF">2018-11-04T09:46:00Z</dcterms:modified>
</cp:coreProperties>
</file>