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51" w:rsidRDefault="00A464C7" w:rsidP="00B47D51">
      <w:pPr>
        <w:autoSpaceDE w:val="0"/>
        <w:autoSpaceDN w:val="0"/>
        <w:adjustRightInd w:val="0"/>
        <w:rPr>
          <w:rFonts w:ascii="Cambria" w:hAnsi="Cambria" w:cs="Cambria"/>
          <w:color w:val="3366FF"/>
          <w:sz w:val="28"/>
          <w:szCs w:val="28"/>
        </w:rPr>
      </w:pPr>
      <w:r>
        <w:rPr>
          <w:rFonts w:ascii="Cambria" w:hAnsi="Cambria" w:cs="Cambria"/>
          <w:color w:val="3366FF"/>
          <w:sz w:val="28"/>
          <w:szCs w:val="28"/>
        </w:rPr>
        <w:t>a.a. 20</w:t>
      </w:r>
      <w:r w:rsidR="00C3613C">
        <w:rPr>
          <w:rFonts w:ascii="Cambria" w:hAnsi="Cambria" w:cs="Cambria"/>
          <w:color w:val="3366FF"/>
          <w:sz w:val="28"/>
          <w:szCs w:val="28"/>
        </w:rPr>
        <w:t>20</w:t>
      </w:r>
      <w:r>
        <w:rPr>
          <w:rFonts w:ascii="Cambria" w:hAnsi="Cambria" w:cs="Cambria"/>
          <w:color w:val="3366FF"/>
          <w:sz w:val="28"/>
          <w:szCs w:val="28"/>
        </w:rPr>
        <w:t>/20</w:t>
      </w:r>
      <w:r w:rsidR="00C3613C">
        <w:rPr>
          <w:rFonts w:ascii="Cambria" w:hAnsi="Cambria" w:cs="Cambria"/>
          <w:color w:val="3366FF"/>
          <w:sz w:val="28"/>
          <w:szCs w:val="28"/>
        </w:rPr>
        <w:t>21</w:t>
      </w:r>
    </w:p>
    <w:p w:rsidR="00B47D51" w:rsidRDefault="00A464C7" w:rsidP="00B47D51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366FF"/>
          <w:sz w:val="32"/>
          <w:szCs w:val="32"/>
        </w:rPr>
      </w:pPr>
      <w:r>
        <w:rPr>
          <w:rFonts w:ascii="Cambria-Bold" w:hAnsi="Cambria-Bold" w:cs="Cambria-Bold"/>
          <w:b/>
          <w:bCs/>
          <w:color w:val="3366FF"/>
          <w:sz w:val="32"/>
          <w:szCs w:val="32"/>
        </w:rPr>
        <w:t>ETICA E AMBIENTE</w:t>
      </w:r>
    </w:p>
    <w:p w:rsidR="00B47D51" w:rsidRDefault="00B47D51" w:rsidP="00B47D51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366FF"/>
        </w:rPr>
      </w:pPr>
      <w:r>
        <w:rPr>
          <w:rFonts w:ascii="Cambria-Bold" w:hAnsi="Cambria-Bold" w:cs="Cambria-Bold"/>
          <w:b/>
          <w:bCs/>
          <w:color w:val="3366FF"/>
        </w:rPr>
        <w:t>prof. ANDREA PORCIELLO</w:t>
      </w:r>
    </w:p>
    <w:p w:rsidR="00B47D51" w:rsidRDefault="00C3613C" w:rsidP="00F425D2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Corso di Laurea in Sociologia</w:t>
      </w:r>
    </w:p>
    <w:p w:rsidR="00B47D51" w:rsidRDefault="00B47D51" w:rsidP="00F425D2">
      <w:pPr>
        <w:jc w:val="both"/>
        <w:rPr>
          <w:rFonts w:ascii="Garamond" w:hAnsi="Garamond"/>
          <w:b/>
          <w:sz w:val="28"/>
          <w:szCs w:val="28"/>
        </w:rPr>
      </w:pPr>
    </w:p>
    <w:p w:rsidR="00F2271B" w:rsidRPr="00B47D51" w:rsidRDefault="00F425D2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color w:val="FF0000"/>
          <w:sz w:val="28"/>
          <w:szCs w:val="28"/>
        </w:rPr>
        <w:t>Informazioni Corso</w:t>
      </w:r>
    </w:p>
    <w:p w:rsidR="00F425D2" w:rsidRPr="00B47D51" w:rsidRDefault="00F425D2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>C</w:t>
      </w:r>
      <w:r w:rsidR="00B47D51">
        <w:rPr>
          <w:rFonts w:ascii="Garamond" w:hAnsi="Garamond"/>
          <w:sz w:val="28"/>
          <w:szCs w:val="28"/>
        </w:rPr>
        <w:t xml:space="preserve">orso di </w:t>
      </w:r>
      <w:r w:rsidR="00A464C7">
        <w:rPr>
          <w:rFonts w:ascii="Garamond" w:hAnsi="Garamond"/>
          <w:sz w:val="28"/>
          <w:szCs w:val="28"/>
        </w:rPr>
        <w:t>ETICA</w:t>
      </w:r>
      <w:r w:rsidR="00C3613C">
        <w:rPr>
          <w:rFonts w:ascii="Garamond" w:hAnsi="Garamond"/>
          <w:sz w:val="28"/>
          <w:szCs w:val="28"/>
        </w:rPr>
        <w:t xml:space="preserve"> </w:t>
      </w:r>
      <w:r w:rsidR="005C7F23">
        <w:rPr>
          <w:rFonts w:ascii="Garamond" w:hAnsi="Garamond"/>
          <w:sz w:val="28"/>
          <w:szCs w:val="28"/>
        </w:rPr>
        <w:t>E AMBIENTE, 6</w:t>
      </w:r>
      <w:r w:rsidR="00A464C7">
        <w:rPr>
          <w:rFonts w:ascii="Garamond" w:hAnsi="Garamond"/>
          <w:sz w:val="28"/>
          <w:szCs w:val="28"/>
        </w:rPr>
        <w:t xml:space="preserve"> CFU, anno accademico 20</w:t>
      </w:r>
      <w:r w:rsidR="00C3613C">
        <w:rPr>
          <w:rFonts w:ascii="Garamond" w:hAnsi="Garamond"/>
          <w:sz w:val="28"/>
          <w:szCs w:val="28"/>
        </w:rPr>
        <w:t>20</w:t>
      </w:r>
      <w:r w:rsidR="00A464C7">
        <w:rPr>
          <w:rFonts w:ascii="Garamond" w:hAnsi="Garamond"/>
          <w:sz w:val="28"/>
          <w:szCs w:val="28"/>
        </w:rPr>
        <w:t>-20</w:t>
      </w:r>
      <w:r w:rsidR="00C3613C">
        <w:rPr>
          <w:rFonts w:ascii="Garamond" w:hAnsi="Garamond"/>
          <w:sz w:val="28"/>
          <w:szCs w:val="28"/>
        </w:rPr>
        <w:t>21</w:t>
      </w:r>
      <w:r w:rsidRPr="00B47D51">
        <w:rPr>
          <w:rFonts w:ascii="Garamond" w:hAnsi="Garamond"/>
          <w:sz w:val="28"/>
          <w:szCs w:val="28"/>
        </w:rPr>
        <w:t>, I</w:t>
      </w:r>
      <w:r w:rsidR="00A464C7">
        <w:rPr>
          <w:rFonts w:ascii="Garamond" w:hAnsi="Garamond"/>
          <w:sz w:val="28"/>
          <w:szCs w:val="28"/>
        </w:rPr>
        <w:t>I</w:t>
      </w:r>
      <w:r w:rsidRPr="00B47D51">
        <w:rPr>
          <w:rFonts w:ascii="Garamond" w:hAnsi="Garamond"/>
          <w:sz w:val="28"/>
          <w:szCs w:val="28"/>
        </w:rPr>
        <w:t xml:space="preserve"> semestre</w:t>
      </w:r>
    </w:p>
    <w:p w:rsidR="00F425D2" w:rsidRPr="00B47D51" w:rsidRDefault="00F425D2" w:rsidP="00F425D2">
      <w:pPr>
        <w:jc w:val="both"/>
        <w:rPr>
          <w:rFonts w:ascii="Garamond" w:hAnsi="Garamond"/>
          <w:sz w:val="28"/>
          <w:szCs w:val="28"/>
        </w:rPr>
      </w:pPr>
    </w:p>
    <w:p w:rsidR="00F425D2" w:rsidRPr="00B47D51" w:rsidRDefault="00F425D2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color w:val="FF0000"/>
          <w:sz w:val="28"/>
          <w:szCs w:val="28"/>
        </w:rPr>
        <w:t>Informazioni Docente</w:t>
      </w:r>
    </w:p>
    <w:p w:rsidR="00B47D51" w:rsidRPr="00B47D51" w:rsidRDefault="00B47D51" w:rsidP="00B47D51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>Prof. Andrea Porciello, Ordinario di Filosofia del diritto</w:t>
      </w:r>
      <w:r w:rsidR="00A464C7">
        <w:rPr>
          <w:rFonts w:ascii="Garamond" w:hAnsi="Garamond"/>
          <w:sz w:val="28"/>
          <w:szCs w:val="28"/>
        </w:rPr>
        <w:t>, IUS/20</w:t>
      </w:r>
    </w:p>
    <w:p w:rsidR="00B47D51" w:rsidRDefault="00A464C7" w:rsidP="00F425D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Dipartimento di Giurisprudenza, Economia e Sociologia</w:t>
      </w:r>
    </w:p>
    <w:p w:rsidR="00B47D51" w:rsidRDefault="00C3613C" w:rsidP="00F425D2">
      <w:pPr>
        <w:jc w:val="both"/>
        <w:rPr>
          <w:rFonts w:ascii="Garamond" w:hAnsi="Garamond"/>
          <w:sz w:val="28"/>
          <w:szCs w:val="28"/>
        </w:rPr>
      </w:pPr>
      <w:hyperlink r:id="rId5" w:history="1">
        <w:r w:rsidR="00A464C7" w:rsidRPr="005C7F23">
          <w:rPr>
            <w:rStyle w:val="Collegamentoipertestuale"/>
            <w:rFonts w:ascii="Garamond" w:hAnsi="Garamond"/>
            <w:sz w:val="28"/>
            <w:szCs w:val="28"/>
          </w:rPr>
          <w:t>andreaporciello@unicz.it</w:t>
        </w:r>
      </w:hyperlink>
      <w:r w:rsidR="00A464C7" w:rsidRPr="005C7F23">
        <w:rPr>
          <w:rFonts w:ascii="Garamond" w:hAnsi="Garamond"/>
          <w:sz w:val="28"/>
          <w:szCs w:val="28"/>
        </w:rPr>
        <w:t xml:space="preserve"> - </w:t>
      </w:r>
      <w:hyperlink r:id="rId6" w:history="1">
        <w:r w:rsidR="00F425D2" w:rsidRPr="00B47D51">
          <w:rPr>
            <w:rStyle w:val="Collegamentoipertestuale"/>
            <w:rFonts w:ascii="Garamond" w:hAnsi="Garamond"/>
            <w:sz w:val="28"/>
            <w:szCs w:val="28"/>
          </w:rPr>
          <w:t>andreaporciello@hotmail.com</w:t>
        </w:r>
      </w:hyperlink>
      <w:r w:rsidR="00B47D51">
        <w:rPr>
          <w:rFonts w:ascii="Garamond" w:hAnsi="Garamond"/>
          <w:sz w:val="28"/>
          <w:szCs w:val="28"/>
        </w:rPr>
        <w:t>,</w:t>
      </w:r>
      <w:r w:rsidR="00A464C7">
        <w:rPr>
          <w:rFonts w:ascii="Garamond" w:hAnsi="Garamond"/>
          <w:sz w:val="28"/>
          <w:szCs w:val="28"/>
        </w:rPr>
        <w:t xml:space="preserve"> </w:t>
      </w:r>
    </w:p>
    <w:p w:rsidR="00B47D51" w:rsidRPr="00B47D51" w:rsidRDefault="00B47D51" w:rsidP="00A464C7">
      <w:pPr>
        <w:autoSpaceDE w:val="0"/>
        <w:autoSpaceDN w:val="0"/>
        <w:adjustRightInd w:val="0"/>
        <w:jc w:val="both"/>
        <w:rPr>
          <w:rFonts w:ascii="Garamond" w:hAnsi="Garamond" w:cs="Cambria"/>
          <w:color w:val="000000"/>
          <w:sz w:val="28"/>
          <w:szCs w:val="28"/>
        </w:rPr>
      </w:pPr>
      <w:r w:rsidRPr="00B47D51">
        <w:rPr>
          <w:rFonts w:ascii="Garamond" w:hAnsi="Garamond" w:cs="Cambria"/>
          <w:color w:val="000000"/>
          <w:sz w:val="28"/>
          <w:szCs w:val="28"/>
        </w:rPr>
        <w:t>Gli orari di ricevimento, fissati con cadenza settimanale durante il periodo del corso di</w:t>
      </w:r>
      <w:r w:rsidR="00A464C7">
        <w:rPr>
          <w:rFonts w:ascii="Garamond" w:hAnsi="Garamond" w:cs="Cambria"/>
          <w:color w:val="000000"/>
          <w:sz w:val="28"/>
          <w:szCs w:val="28"/>
        </w:rPr>
        <w:t xml:space="preserve"> </w:t>
      </w:r>
      <w:r w:rsidRPr="00B47D51">
        <w:rPr>
          <w:rFonts w:ascii="Garamond" w:hAnsi="Garamond" w:cs="Cambria"/>
          <w:color w:val="000000"/>
          <w:sz w:val="28"/>
          <w:szCs w:val="28"/>
        </w:rPr>
        <w:t>lezioni e degli esami e con cadenza quindicin</w:t>
      </w:r>
      <w:r>
        <w:rPr>
          <w:rFonts w:ascii="Garamond" w:hAnsi="Garamond" w:cs="Cambria"/>
          <w:color w:val="000000"/>
          <w:sz w:val="28"/>
          <w:szCs w:val="28"/>
        </w:rPr>
        <w:t xml:space="preserve">ale nel rimanente periodo, sono </w:t>
      </w:r>
      <w:r w:rsidRPr="00B47D51">
        <w:rPr>
          <w:rFonts w:ascii="Garamond" w:hAnsi="Garamond" w:cs="Cambria"/>
          <w:color w:val="000000"/>
          <w:sz w:val="28"/>
          <w:szCs w:val="28"/>
        </w:rPr>
        <w:t>consultabili sul sito di Ateneo nella sezione riservata agli</w:t>
      </w:r>
      <w:r>
        <w:rPr>
          <w:rFonts w:ascii="Garamond" w:hAnsi="Garamond" w:cs="Cambria"/>
          <w:color w:val="000000"/>
          <w:sz w:val="28"/>
          <w:szCs w:val="28"/>
        </w:rPr>
        <w:t xml:space="preserve"> avvisi per gli studenti nonché </w:t>
      </w:r>
      <w:r w:rsidRPr="00B47D51">
        <w:rPr>
          <w:rFonts w:ascii="Garamond" w:hAnsi="Garamond" w:cs="Cambria"/>
          <w:color w:val="000000"/>
          <w:sz w:val="28"/>
          <w:szCs w:val="28"/>
        </w:rPr>
        <w:t>sulla pagina web personale del docente.</w:t>
      </w:r>
    </w:p>
    <w:p w:rsidR="00F425D2" w:rsidRPr="00B47D51" w:rsidRDefault="00F425D2" w:rsidP="00F425D2">
      <w:pPr>
        <w:jc w:val="both"/>
        <w:rPr>
          <w:rFonts w:ascii="Garamond" w:hAnsi="Garamond"/>
          <w:sz w:val="28"/>
          <w:szCs w:val="28"/>
        </w:rPr>
      </w:pPr>
    </w:p>
    <w:p w:rsidR="00F425D2" w:rsidRPr="00B47D51" w:rsidRDefault="00F425D2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color w:val="FF0000"/>
          <w:sz w:val="28"/>
          <w:szCs w:val="28"/>
        </w:rPr>
        <w:t>Descrizione del Corso</w:t>
      </w:r>
    </w:p>
    <w:p w:rsidR="00A464C7" w:rsidRDefault="003C199D" w:rsidP="00F425D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corso è distinto in tre parti. Nella prima</w:t>
      </w:r>
      <w:r w:rsidR="007B0D35" w:rsidRPr="00B47D51">
        <w:rPr>
          <w:rFonts w:ascii="Garamond" w:hAnsi="Garamond"/>
          <w:sz w:val="28"/>
          <w:szCs w:val="28"/>
        </w:rPr>
        <w:t xml:space="preserve"> gli s</w:t>
      </w:r>
      <w:r w:rsidR="00A464C7">
        <w:rPr>
          <w:rFonts w:ascii="Garamond" w:hAnsi="Garamond"/>
          <w:sz w:val="28"/>
          <w:szCs w:val="28"/>
        </w:rPr>
        <w:t>tudenti</w:t>
      </w:r>
      <w:r w:rsidR="005C7F23">
        <w:rPr>
          <w:rFonts w:ascii="Garamond" w:hAnsi="Garamond"/>
          <w:sz w:val="28"/>
          <w:szCs w:val="28"/>
        </w:rPr>
        <w:t>, dopo un sommario esame dei dati scientifici relativi alla condizione di salute del pianeta,</w:t>
      </w:r>
      <w:r w:rsidR="00A464C7">
        <w:rPr>
          <w:rFonts w:ascii="Garamond" w:hAnsi="Garamond"/>
          <w:sz w:val="28"/>
          <w:szCs w:val="28"/>
        </w:rPr>
        <w:t xml:space="preserve"> verranno introdotti alle principali </w:t>
      </w:r>
      <w:r w:rsidR="007B0D35" w:rsidRPr="00B47D51">
        <w:rPr>
          <w:rFonts w:ascii="Garamond" w:hAnsi="Garamond"/>
          <w:sz w:val="28"/>
          <w:szCs w:val="28"/>
        </w:rPr>
        <w:t>categor</w:t>
      </w:r>
      <w:r w:rsidR="00A464C7">
        <w:rPr>
          <w:rFonts w:ascii="Garamond" w:hAnsi="Garamond"/>
          <w:sz w:val="28"/>
          <w:szCs w:val="28"/>
        </w:rPr>
        <w:t>ie ed ai concetti basilari dell’etica</w:t>
      </w:r>
      <w:r w:rsidR="007B0D35" w:rsidRPr="00B47D51">
        <w:rPr>
          <w:rFonts w:ascii="Garamond" w:hAnsi="Garamond"/>
          <w:sz w:val="28"/>
          <w:szCs w:val="28"/>
        </w:rPr>
        <w:t xml:space="preserve"> </w:t>
      </w:r>
      <w:r w:rsidR="00A464C7">
        <w:rPr>
          <w:rFonts w:ascii="Garamond" w:hAnsi="Garamond"/>
          <w:sz w:val="28"/>
          <w:szCs w:val="28"/>
        </w:rPr>
        <w:t xml:space="preserve">in generale e dell’etica ambientale in particolare: ci si chiederà se “sia possibile un’etica ambientale?” </w:t>
      </w:r>
      <w:r>
        <w:rPr>
          <w:rFonts w:ascii="Garamond" w:hAnsi="Garamond"/>
          <w:sz w:val="28"/>
          <w:szCs w:val="28"/>
        </w:rPr>
        <w:t>S</w:t>
      </w:r>
      <w:r w:rsidR="00A464C7">
        <w:rPr>
          <w:rFonts w:ascii="Garamond" w:hAnsi="Garamond"/>
          <w:sz w:val="28"/>
          <w:szCs w:val="28"/>
        </w:rPr>
        <w:t xml:space="preserve">e “essa richieda un abbandono delle “etiche” antropocentriche?” </w:t>
      </w:r>
      <w:r>
        <w:rPr>
          <w:rFonts w:ascii="Garamond" w:hAnsi="Garamond"/>
          <w:sz w:val="28"/>
          <w:szCs w:val="28"/>
        </w:rPr>
        <w:t>ed infine,</w:t>
      </w:r>
      <w:r w:rsidR="00A464C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ci si domanderà </w:t>
      </w:r>
      <w:r w:rsidR="00A464C7">
        <w:rPr>
          <w:rFonts w:ascii="Garamond" w:hAnsi="Garamond"/>
          <w:sz w:val="28"/>
          <w:szCs w:val="28"/>
        </w:rPr>
        <w:t>“quale etiche antropocentriche prediligere, alla luce dell’urgenza planetaria dettata da</w:t>
      </w:r>
      <w:r>
        <w:rPr>
          <w:rFonts w:ascii="Garamond" w:hAnsi="Garamond"/>
          <w:sz w:val="28"/>
          <w:szCs w:val="28"/>
        </w:rPr>
        <w:t>i</w:t>
      </w:r>
      <w:r w:rsidR="00A464C7">
        <w:rPr>
          <w:rFonts w:ascii="Garamond" w:hAnsi="Garamond"/>
          <w:sz w:val="28"/>
          <w:szCs w:val="28"/>
        </w:rPr>
        <w:t xml:space="preserve"> mutamenti climatici e </w:t>
      </w:r>
      <w:r>
        <w:rPr>
          <w:rFonts w:ascii="Garamond" w:hAnsi="Garamond"/>
          <w:sz w:val="28"/>
          <w:szCs w:val="28"/>
        </w:rPr>
        <w:t xml:space="preserve">dalle </w:t>
      </w:r>
      <w:r w:rsidR="00A464C7">
        <w:rPr>
          <w:rFonts w:ascii="Garamond" w:hAnsi="Garamond"/>
          <w:sz w:val="28"/>
          <w:szCs w:val="28"/>
        </w:rPr>
        <w:t xml:space="preserve">crisi ambientali”. </w:t>
      </w:r>
    </w:p>
    <w:p w:rsidR="005C7F23" w:rsidRDefault="00A464C7" w:rsidP="00F425D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Nella seconda parte si esaminerà, in chiave critica, </w:t>
      </w:r>
      <w:r w:rsidR="003C199D">
        <w:rPr>
          <w:rFonts w:ascii="Garamond" w:hAnsi="Garamond"/>
          <w:sz w:val="28"/>
          <w:szCs w:val="28"/>
        </w:rPr>
        <w:t xml:space="preserve">la disciplina giuridica dedicata alle questioni ambientali, tanto a quella nazionale quanto a quella internazionale, ciò al fine di collaudarne l’efficacia e di verificarne la congruità rispetto ai bisogni reali. Particolare risalto verrà dato ai principi ispiratori di tale disciplina, </w:t>
      </w:r>
      <w:r w:rsidR="003C199D" w:rsidRPr="003C199D">
        <w:rPr>
          <w:rFonts w:ascii="Garamond" w:hAnsi="Garamond"/>
          <w:i/>
          <w:sz w:val="28"/>
          <w:szCs w:val="28"/>
        </w:rPr>
        <w:t>in primis</w:t>
      </w:r>
      <w:r w:rsidR="003C199D">
        <w:rPr>
          <w:rFonts w:ascii="Garamond" w:hAnsi="Garamond"/>
          <w:sz w:val="28"/>
          <w:szCs w:val="28"/>
        </w:rPr>
        <w:t xml:space="preserve"> al “principio di precauzione”</w:t>
      </w:r>
      <w:r w:rsidR="005C7F23">
        <w:rPr>
          <w:rFonts w:ascii="Garamond" w:hAnsi="Garamond"/>
          <w:sz w:val="28"/>
          <w:szCs w:val="28"/>
        </w:rPr>
        <w:t>.</w:t>
      </w:r>
    </w:p>
    <w:p w:rsidR="00F425D2" w:rsidRDefault="003C199D" w:rsidP="00F425D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Infine, si dedicherà la parte conclusiva alla questione dei diritti ed in particolare alla titolarità</w:t>
      </w:r>
      <w:r w:rsidR="005C7F23">
        <w:rPr>
          <w:rFonts w:ascii="Garamond" w:hAnsi="Garamond"/>
          <w:sz w:val="28"/>
          <w:szCs w:val="28"/>
        </w:rPr>
        <w:t xml:space="preserve"> da parte di entità extra-umane come unica possibile soluzione alle più urgenti questioni ambientali.</w:t>
      </w:r>
    </w:p>
    <w:p w:rsidR="003C199D" w:rsidRPr="00B47D51" w:rsidRDefault="003C199D" w:rsidP="00F425D2">
      <w:pPr>
        <w:jc w:val="both"/>
        <w:rPr>
          <w:rFonts w:ascii="Garamond" w:hAnsi="Garamond"/>
          <w:sz w:val="28"/>
          <w:szCs w:val="28"/>
        </w:rPr>
      </w:pPr>
    </w:p>
    <w:p w:rsidR="007B0D35" w:rsidRPr="00B47D51" w:rsidRDefault="007B0D35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bCs/>
          <w:color w:val="FF0000"/>
          <w:sz w:val="28"/>
          <w:szCs w:val="28"/>
        </w:rPr>
        <w:t>Obiettivi del C</w:t>
      </w:r>
      <w:r w:rsidR="009D1285" w:rsidRPr="00B47D51">
        <w:rPr>
          <w:rFonts w:ascii="Garamond" w:hAnsi="Garamond"/>
          <w:b/>
          <w:bCs/>
          <w:color w:val="FF0000"/>
          <w:sz w:val="28"/>
          <w:szCs w:val="28"/>
        </w:rPr>
        <w:t>orso e r</w:t>
      </w:r>
      <w:r w:rsidRPr="00B47D51">
        <w:rPr>
          <w:rFonts w:ascii="Garamond" w:hAnsi="Garamond"/>
          <w:b/>
          <w:bCs/>
          <w:color w:val="FF0000"/>
          <w:sz w:val="28"/>
          <w:szCs w:val="28"/>
        </w:rPr>
        <w:t>isultati di apprendimento attesi</w:t>
      </w:r>
    </w:p>
    <w:p w:rsidR="009D1285" w:rsidRPr="00B47D51" w:rsidRDefault="007B0D35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>Alla fine del corso lo studente avrà appreso le pi</w:t>
      </w:r>
      <w:r w:rsidR="005C7F23">
        <w:rPr>
          <w:rFonts w:ascii="Garamond" w:hAnsi="Garamond"/>
          <w:sz w:val="28"/>
          <w:szCs w:val="28"/>
        </w:rPr>
        <w:t>ù importanti problematiche dell’etica ambientale</w:t>
      </w:r>
      <w:r w:rsidRPr="00B47D51">
        <w:rPr>
          <w:rFonts w:ascii="Garamond" w:hAnsi="Garamond"/>
          <w:sz w:val="28"/>
          <w:szCs w:val="28"/>
        </w:rPr>
        <w:t>, gli autori di riferimento e soprattutto il metodo di ragionamento utilizzato all’interno della disciplina.</w:t>
      </w:r>
    </w:p>
    <w:p w:rsidR="007B0D35" w:rsidRPr="00B47D51" w:rsidRDefault="007B0D35" w:rsidP="00F425D2">
      <w:pPr>
        <w:jc w:val="both"/>
        <w:rPr>
          <w:rFonts w:ascii="Garamond" w:hAnsi="Garamond"/>
          <w:b/>
          <w:sz w:val="28"/>
          <w:szCs w:val="28"/>
        </w:rPr>
      </w:pPr>
    </w:p>
    <w:p w:rsidR="007B0D35" w:rsidRPr="00B47D51" w:rsidRDefault="007B0D35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bCs/>
          <w:color w:val="FF0000"/>
          <w:sz w:val="28"/>
          <w:szCs w:val="28"/>
        </w:rPr>
        <w:t>Metodi di insegnamento utilizzati</w:t>
      </w:r>
    </w:p>
    <w:p w:rsidR="007B0D35" w:rsidRPr="00B47D51" w:rsidRDefault="007B0D35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>Lezione frontale, mirante però al coinvolgimento della classe e alla partecipazione attiva degli studenti.</w:t>
      </w:r>
    </w:p>
    <w:p w:rsidR="007B0D35" w:rsidRDefault="007B0D35" w:rsidP="00F425D2">
      <w:pPr>
        <w:jc w:val="both"/>
        <w:rPr>
          <w:rFonts w:ascii="Garamond" w:hAnsi="Garamond"/>
          <w:sz w:val="28"/>
          <w:szCs w:val="28"/>
        </w:rPr>
      </w:pPr>
    </w:p>
    <w:p w:rsidR="005C7F23" w:rsidRPr="00B47D51" w:rsidRDefault="005C7F23" w:rsidP="00F425D2">
      <w:pPr>
        <w:jc w:val="both"/>
        <w:rPr>
          <w:rFonts w:ascii="Garamond" w:hAnsi="Garamond"/>
          <w:sz w:val="28"/>
          <w:szCs w:val="28"/>
        </w:rPr>
      </w:pPr>
    </w:p>
    <w:p w:rsidR="007B0D35" w:rsidRPr="00B47D51" w:rsidRDefault="007B0D35" w:rsidP="00F425D2">
      <w:pPr>
        <w:jc w:val="both"/>
        <w:rPr>
          <w:rFonts w:ascii="Garamond" w:hAnsi="Garamond"/>
          <w:color w:val="FF0000"/>
          <w:sz w:val="28"/>
          <w:szCs w:val="28"/>
        </w:rPr>
      </w:pPr>
      <w:r w:rsidRPr="00B47D51">
        <w:rPr>
          <w:rFonts w:ascii="Garamond" w:hAnsi="Garamond"/>
          <w:b/>
          <w:bCs/>
          <w:color w:val="FF0000"/>
          <w:sz w:val="28"/>
          <w:szCs w:val="28"/>
        </w:rPr>
        <w:t>Attività di supporto</w:t>
      </w:r>
    </w:p>
    <w:p w:rsidR="00DF06CE" w:rsidRPr="00B47D51" w:rsidRDefault="007B0D35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lastRenderedPageBreak/>
        <w:t>Accanto alle lezioni del corso, sono previste attività integrative quali proiezioni di film e documentari, nonché seminari di esperti della materia.</w:t>
      </w:r>
      <w:r w:rsidR="009D1285" w:rsidRPr="00B47D51">
        <w:rPr>
          <w:rFonts w:ascii="Garamond" w:hAnsi="Garamond"/>
          <w:sz w:val="28"/>
          <w:szCs w:val="28"/>
        </w:rPr>
        <w:t xml:space="preserve"> In tutte le lezioni si farà uso di slides.</w:t>
      </w:r>
    </w:p>
    <w:p w:rsidR="00DF06CE" w:rsidRPr="00B47D51" w:rsidRDefault="00DF06CE" w:rsidP="00F425D2">
      <w:pPr>
        <w:jc w:val="both"/>
        <w:rPr>
          <w:rFonts w:ascii="Garamond" w:hAnsi="Garamond"/>
          <w:sz w:val="28"/>
          <w:szCs w:val="28"/>
        </w:rPr>
      </w:pPr>
    </w:p>
    <w:p w:rsidR="00DF06CE" w:rsidRPr="00B47D51" w:rsidRDefault="00DF06CE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color w:val="FF0000"/>
          <w:sz w:val="28"/>
          <w:szCs w:val="28"/>
        </w:rPr>
        <w:t>Stima dell’impegno orario richiesto per lo studio individuale del programma</w:t>
      </w:r>
    </w:p>
    <w:p w:rsidR="007B0D35" w:rsidRPr="00B47D51" w:rsidRDefault="002E2587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>Lo studente frequent</w:t>
      </w:r>
      <w:r w:rsidR="005C7F23">
        <w:rPr>
          <w:rFonts w:ascii="Garamond" w:hAnsi="Garamond"/>
          <w:sz w:val="28"/>
          <w:szCs w:val="28"/>
        </w:rPr>
        <w:t>ante dovrebbe aggiungere alle 45</w:t>
      </w:r>
      <w:r w:rsidR="009D1285" w:rsidRPr="00B47D51">
        <w:rPr>
          <w:rFonts w:ascii="Garamond" w:hAnsi="Garamond"/>
          <w:sz w:val="28"/>
          <w:szCs w:val="28"/>
        </w:rPr>
        <w:t xml:space="preserve"> ore di frequenza del corso</w:t>
      </w:r>
      <w:r w:rsidRPr="00B47D51">
        <w:rPr>
          <w:rFonts w:ascii="Garamond" w:hAnsi="Garamond"/>
          <w:sz w:val="28"/>
          <w:szCs w:val="28"/>
        </w:rPr>
        <w:t xml:space="preserve"> altrettante ore </w:t>
      </w:r>
      <w:r w:rsidR="005C7F23">
        <w:rPr>
          <w:rFonts w:ascii="Garamond" w:hAnsi="Garamond"/>
          <w:sz w:val="28"/>
          <w:szCs w:val="28"/>
        </w:rPr>
        <w:t>di studio individuale. Quindi 45 + 45</w:t>
      </w:r>
      <w:r w:rsidRPr="00B47D51">
        <w:rPr>
          <w:rFonts w:ascii="Garamond" w:hAnsi="Garamond"/>
          <w:sz w:val="28"/>
          <w:szCs w:val="28"/>
        </w:rPr>
        <w:t>. Con eventuali integrazioni di studio, per chiarimenti o approfondimenti, da effettuars</w:t>
      </w:r>
      <w:r w:rsidR="005C7F23">
        <w:rPr>
          <w:rFonts w:ascii="Garamond" w:hAnsi="Garamond"/>
          <w:sz w:val="28"/>
          <w:szCs w:val="28"/>
        </w:rPr>
        <w:t>i durante le ore di ricevimento fissate settimanalmente dal docente.</w:t>
      </w:r>
    </w:p>
    <w:p w:rsidR="007B0D35" w:rsidRPr="00B47D51" w:rsidRDefault="007B0D35" w:rsidP="00F425D2">
      <w:pPr>
        <w:jc w:val="both"/>
        <w:rPr>
          <w:rFonts w:ascii="Garamond" w:hAnsi="Garamond"/>
          <w:b/>
          <w:sz w:val="28"/>
          <w:szCs w:val="28"/>
        </w:rPr>
      </w:pPr>
    </w:p>
    <w:p w:rsidR="002E2587" w:rsidRPr="00B47D51" w:rsidRDefault="002E2587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color w:val="FF0000"/>
          <w:sz w:val="28"/>
          <w:szCs w:val="28"/>
        </w:rPr>
        <w:t>Risorse per l’apprendimento</w:t>
      </w:r>
    </w:p>
    <w:p w:rsidR="002E2587" w:rsidRPr="00B47D51" w:rsidRDefault="00C3613C" w:rsidP="002E258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 coniglia il testo seguente</w:t>
      </w:r>
      <w:r w:rsidR="002E2587" w:rsidRPr="00B47D51">
        <w:rPr>
          <w:rFonts w:ascii="Garamond" w:hAnsi="Garamond"/>
          <w:sz w:val="28"/>
          <w:szCs w:val="28"/>
        </w:rPr>
        <w:t>:</w:t>
      </w:r>
    </w:p>
    <w:p w:rsidR="009D1285" w:rsidRDefault="009D1285" w:rsidP="002E2587">
      <w:pPr>
        <w:rPr>
          <w:rFonts w:ascii="Garamond" w:hAnsi="Garamond"/>
          <w:sz w:val="28"/>
          <w:szCs w:val="28"/>
        </w:rPr>
      </w:pPr>
    </w:p>
    <w:p w:rsidR="007B0D35" w:rsidRPr="005C7F23" w:rsidRDefault="00C3613C" w:rsidP="005C7F23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Luisella Battaglia, </w:t>
      </w:r>
      <w:r w:rsidRPr="00C3613C">
        <w:rPr>
          <w:rFonts w:ascii="Garamond" w:hAnsi="Garamond"/>
          <w:i/>
          <w:iCs/>
          <w:sz w:val="28"/>
          <w:szCs w:val="28"/>
        </w:rPr>
        <w:t>Alle origini dell’etica ambientale. Uomo, natura, animali in Voltaire, Michelet, Thoreau, Gandhi</w:t>
      </w:r>
      <w:r>
        <w:rPr>
          <w:rFonts w:ascii="Garamond" w:hAnsi="Garamond"/>
          <w:sz w:val="28"/>
          <w:szCs w:val="28"/>
        </w:rPr>
        <w:t>, Dedalo, 2002.</w:t>
      </w:r>
    </w:p>
    <w:p w:rsidR="009D1285" w:rsidRPr="00B47D51" w:rsidRDefault="009D1285" w:rsidP="007B0D35">
      <w:pPr>
        <w:rPr>
          <w:rFonts w:ascii="Garamond" w:hAnsi="Garamond"/>
          <w:sz w:val="28"/>
          <w:szCs w:val="28"/>
        </w:rPr>
      </w:pPr>
    </w:p>
    <w:p w:rsidR="002B6072" w:rsidRPr="00B47D51" w:rsidRDefault="002B6072" w:rsidP="00F425D2">
      <w:pPr>
        <w:jc w:val="both"/>
        <w:rPr>
          <w:rFonts w:ascii="Garamond" w:hAnsi="Garamond"/>
          <w:sz w:val="28"/>
          <w:szCs w:val="28"/>
        </w:rPr>
      </w:pPr>
    </w:p>
    <w:p w:rsidR="002B6072" w:rsidRPr="00B47D51" w:rsidRDefault="002B6072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color w:val="FF0000"/>
          <w:sz w:val="28"/>
          <w:szCs w:val="28"/>
        </w:rPr>
        <w:t>Modalità di frequenza</w:t>
      </w:r>
    </w:p>
    <w:p w:rsidR="002B6072" w:rsidRPr="00B47D51" w:rsidRDefault="009D1285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>La frequenz</w:t>
      </w:r>
      <w:r w:rsidR="005C7F23">
        <w:rPr>
          <w:rFonts w:ascii="Garamond" w:hAnsi="Garamond"/>
          <w:sz w:val="28"/>
          <w:szCs w:val="28"/>
        </w:rPr>
        <w:t>a al corso non è obbligatoria. Non s</w:t>
      </w:r>
      <w:r w:rsidRPr="00B47D51">
        <w:rPr>
          <w:rFonts w:ascii="Garamond" w:hAnsi="Garamond"/>
          <w:sz w:val="28"/>
          <w:szCs w:val="28"/>
        </w:rPr>
        <w:t>i prevedono</w:t>
      </w:r>
      <w:r w:rsidR="005C7F23">
        <w:rPr>
          <w:rFonts w:ascii="Garamond" w:hAnsi="Garamond"/>
          <w:sz w:val="28"/>
          <w:szCs w:val="28"/>
        </w:rPr>
        <w:t xml:space="preserve">, dunque, </w:t>
      </w:r>
      <w:r w:rsidRPr="00B47D51">
        <w:rPr>
          <w:rFonts w:ascii="Garamond" w:hAnsi="Garamond"/>
          <w:sz w:val="28"/>
          <w:szCs w:val="28"/>
        </w:rPr>
        <w:t xml:space="preserve">differenze di programma </w:t>
      </w:r>
      <w:r w:rsidR="005C7F23">
        <w:rPr>
          <w:rFonts w:ascii="Garamond" w:hAnsi="Garamond"/>
          <w:sz w:val="28"/>
          <w:szCs w:val="28"/>
        </w:rPr>
        <w:t>tra</w:t>
      </w:r>
      <w:r w:rsidRPr="00B47D51">
        <w:rPr>
          <w:rFonts w:ascii="Garamond" w:hAnsi="Garamond"/>
          <w:sz w:val="28"/>
          <w:szCs w:val="28"/>
        </w:rPr>
        <w:t xml:space="preserve"> </w:t>
      </w:r>
      <w:r w:rsidR="005C7F23">
        <w:rPr>
          <w:rFonts w:ascii="Garamond" w:hAnsi="Garamond"/>
          <w:sz w:val="28"/>
          <w:szCs w:val="28"/>
        </w:rPr>
        <w:t xml:space="preserve">studenti </w:t>
      </w:r>
      <w:r w:rsidRPr="00B47D51">
        <w:rPr>
          <w:rFonts w:ascii="Garamond" w:hAnsi="Garamond"/>
          <w:sz w:val="28"/>
          <w:szCs w:val="28"/>
        </w:rPr>
        <w:t xml:space="preserve">frequentanti </w:t>
      </w:r>
      <w:r w:rsidR="005C7F23">
        <w:rPr>
          <w:rFonts w:ascii="Garamond" w:hAnsi="Garamond"/>
          <w:sz w:val="28"/>
          <w:szCs w:val="28"/>
        </w:rPr>
        <w:t>e non frequentanti.</w:t>
      </w:r>
    </w:p>
    <w:p w:rsidR="002B6072" w:rsidRPr="00B47D51" w:rsidRDefault="002B6072" w:rsidP="00F425D2">
      <w:pPr>
        <w:jc w:val="both"/>
        <w:rPr>
          <w:rFonts w:ascii="Garamond" w:hAnsi="Garamond"/>
          <w:sz w:val="28"/>
          <w:szCs w:val="28"/>
        </w:rPr>
      </w:pPr>
    </w:p>
    <w:p w:rsidR="002B6072" w:rsidRPr="00B47D51" w:rsidRDefault="002B6072" w:rsidP="00F425D2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B47D51">
        <w:rPr>
          <w:rFonts w:ascii="Garamond" w:hAnsi="Garamond"/>
          <w:b/>
          <w:color w:val="FF0000"/>
          <w:sz w:val="28"/>
          <w:szCs w:val="28"/>
        </w:rPr>
        <w:t>Modalità di Accertamento</w:t>
      </w:r>
    </w:p>
    <w:p w:rsidR="002B6072" w:rsidRPr="00B47D51" w:rsidRDefault="002B6072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 xml:space="preserve">Non è prevista alcuna prova intermedia. </w:t>
      </w:r>
    </w:p>
    <w:p w:rsidR="002B6072" w:rsidRPr="00B47D51" w:rsidRDefault="0041194A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>L’esame finale è orale.</w:t>
      </w:r>
    </w:p>
    <w:p w:rsidR="002B6072" w:rsidRPr="00B47D51" w:rsidRDefault="002B6072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 xml:space="preserve">Al fine di superare l’esame lo studente dovrà dimostrare di conoscere sufficientemente il programma nella sua interezza e di essere in grado di esprimerlo con un linguaggio </w:t>
      </w:r>
      <w:r w:rsidR="0041194A" w:rsidRPr="00B47D51">
        <w:rPr>
          <w:rFonts w:ascii="Garamond" w:hAnsi="Garamond"/>
          <w:sz w:val="28"/>
          <w:szCs w:val="28"/>
        </w:rPr>
        <w:t xml:space="preserve">soddisfacente sul piano sintattico e su quello tecnico. </w:t>
      </w:r>
    </w:p>
    <w:p w:rsidR="0041194A" w:rsidRPr="00B47D51" w:rsidRDefault="0041194A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>La mancanza totale o parziale di tali elementi basici comporterà la valutazione negativa della prova e dunque la non idoneità dello studente al superamento dell’esame.</w:t>
      </w:r>
    </w:p>
    <w:p w:rsidR="0041194A" w:rsidRPr="00B47D51" w:rsidRDefault="0041194A" w:rsidP="00F425D2">
      <w:pPr>
        <w:jc w:val="both"/>
        <w:rPr>
          <w:rFonts w:ascii="Garamond" w:hAnsi="Garamond"/>
          <w:sz w:val="28"/>
          <w:szCs w:val="28"/>
        </w:rPr>
      </w:pPr>
    </w:p>
    <w:p w:rsidR="0041194A" w:rsidRPr="00B47D51" w:rsidRDefault="0041194A" w:rsidP="00F425D2">
      <w:pPr>
        <w:jc w:val="both"/>
        <w:rPr>
          <w:rFonts w:ascii="Garamond" w:hAnsi="Garamond"/>
          <w:sz w:val="28"/>
          <w:szCs w:val="28"/>
        </w:rPr>
      </w:pPr>
      <w:r w:rsidRPr="00B47D51">
        <w:rPr>
          <w:rFonts w:ascii="Garamond" w:hAnsi="Garamond"/>
          <w:sz w:val="28"/>
          <w:szCs w:val="28"/>
        </w:rPr>
        <w:t xml:space="preserve">Una volta appurata invece la presenza di tali requisiti minimi, la valutazione dello studente, finalizzata all’individuazione del voto finale (da 18 a 30) verrà effettuata mediante </w:t>
      </w:r>
      <w:r w:rsidR="004C6A3C" w:rsidRPr="00B47D51">
        <w:rPr>
          <w:rFonts w:ascii="Garamond" w:hAnsi="Garamond"/>
          <w:sz w:val="28"/>
          <w:szCs w:val="28"/>
        </w:rPr>
        <w:t>i</w:t>
      </w:r>
      <w:r w:rsidRPr="00B47D51">
        <w:rPr>
          <w:rFonts w:ascii="Garamond" w:hAnsi="Garamond"/>
          <w:sz w:val="28"/>
          <w:szCs w:val="28"/>
        </w:rPr>
        <w:t xml:space="preserve"> parametri </w:t>
      </w:r>
      <w:r w:rsidR="004C6A3C" w:rsidRPr="00B47D51">
        <w:rPr>
          <w:rFonts w:ascii="Garamond" w:hAnsi="Garamond"/>
          <w:sz w:val="28"/>
          <w:szCs w:val="28"/>
        </w:rPr>
        <w:t>qui di seguito riportati nell’apposita griglia:</w:t>
      </w:r>
    </w:p>
    <w:p w:rsidR="00F45FAB" w:rsidRPr="00B47D51" w:rsidRDefault="00F45FAB" w:rsidP="00F425D2">
      <w:pPr>
        <w:jc w:val="both"/>
        <w:rPr>
          <w:rFonts w:ascii="Garamond" w:hAnsi="Garamond"/>
          <w:sz w:val="28"/>
          <w:szCs w:val="28"/>
        </w:rPr>
      </w:pPr>
    </w:p>
    <w:p w:rsidR="00F45FAB" w:rsidRPr="00B47D51" w:rsidRDefault="00F45FAB" w:rsidP="00F45FAB">
      <w:pPr>
        <w:ind w:left="720"/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306"/>
        <w:gridCol w:w="2336"/>
      </w:tblGrid>
      <w:tr w:rsidR="004C6A3C" w:rsidRPr="00B47D51" w:rsidTr="00F96ADB">
        <w:tc>
          <w:tcPr>
            <w:tcW w:w="214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6" w:type="dxa"/>
          </w:tcPr>
          <w:p w:rsidR="004C6A3C" w:rsidRPr="00B47D51" w:rsidRDefault="004C6A3C" w:rsidP="00F96ADB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B47D51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  <w:t>Conoscenza e comprensione argomento</w:t>
            </w:r>
          </w:p>
        </w:tc>
        <w:tc>
          <w:tcPr>
            <w:tcW w:w="2336" w:type="dxa"/>
          </w:tcPr>
          <w:p w:rsidR="004C6A3C" w:rsidRPr="00B47D51" w:rsidRDefault="004C6A3C" w:rsidP="00F96ADB">
            <w:pPr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B47D51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  <w:t>Capacità di analisi e sintesi</w:t>
            </w:r>
          </w:p>
        </w:tc>
      </w:tr>
      <w:tr w:rsidR="004C6A3C" w:rsidRPr="00B47D51" w:rsidTr="00F96ADB">
        <w:tc>
          <w:tcPr>
            <w:tcW w:w="214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:rsidR="004C6A3C" w:rsidRPr="00B47D51" w:rsidRDefault="004C6A3C" w:rsidP="00F96ADB">
            <w:pPr>
              <w:ind w:left="139"/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Importanti e</w:t>
            </w:r>
          </w:p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significative lacune</w:t>
            </w:r>
          </w:p>
        </w:tc>
        <w:tc>
          <w:tcPr>
            <w:tcW w:w="233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Irrilevanti. Frequenti generalizzazioni. Incapacità di sintesi</w:t>
            </w:r>
          </w:p>
        </w:tc>
      </w:tr>
      <w:tr w:rsidR="004C6A3C" w:rsidRPr="00B47D51" w:rsidTr="00F96ADB">
        <w:tc>
          <w:tcPr>
            <w:tcW w:w="214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:rsidR="004C6A3C" w:rsidRPr="00B47D51" w:rsidRDefault="00F96ADB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L</w:t>
            </w:r>
            <w:r w:rsidR="004C6A3C" w:rsidRPr="00B47D51">
              <w:rPr>
                <w:rFonts w:ascii="Garamond" w:hAnsi="Garamond"/>
                <w:sz w:val="28"/>
                <w:szCs w:val="28"/>
              </w:rPr>
              <w:t xml:space="preserve">ivello soglia. Imperfezioni  </w:t>
            </w:r>
            <w:r w:rsidR="004C6A3C" w:rsidRPr="00B47D51">
              <w:rPr>
                <w:rFonts w:ascii="Garamond" w:hAnsi="Garamond"/>
                <w:sz w:val="28"/>
                <w:szCs w:val="28"/>
              </w:rPr>
              <w:lastRenderedPageBreak/>
              <w:t>evidenti</w:t>
            </w:r>
          </w:p>
        </w:tc>
        <w:tc>
          <w:tcPr>
            <w:tcW w:w="233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lastRenderedPageBreak/>
              <w:t>Capacità appena sufficienti</w:t>
            </w:r>
          </w:p>
        </w:tc>
      </w:tr>
      <w:tr w:rsidR="004C6A3C" w:rsidRPr="00B47D51" w:rsidTr="00F96ADB">
        <w:tc>
          <w:tcPr>
            <w:tcW w:w="214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lastRenderedPageBreak/>
              <w:t>21-23</w:t>
            </w:r>
          </w:p>
        </w:tc>
        <w:tc>
          <w:tcPr>
            <w:tcW w:w="230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Conoscenza routinaria</w:t>
            </w:r>
          </w:p>
        </w:tc>
        <w:tc>
          <w:tcPr>
            <w:tcW w:w="233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E’ in grado di analisi e sintesi corrette. Argomenta in modo logico e coerente</w:t>
            </w:r>
          </w:p>
        </w:tc>
      </w:tr>
      <w:tr w:rsidR="004C6A3C" w:rsidRPr="00B47D51" w:rsidTr="00F96ADB">
        <w:tc>
          <w:tcPr>
            <w:tcW w:w="214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Conoscenza buona</w:t>
            </w:r>
          </w:p>
        </w:tc>
        <w:tc>
          <w:tcPr>
            <w:tcW w:w="233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Ha capacità di a. e s. buone, gli argomenti sono espressi coerentemente</w:t>
            </w:r>
          </w:p>
        </w:tc>
      </w:tr>
      <w:tr w:rsidR="004C6A3C" w:rsidRPr="00B47D51" w:rsidTr="00F96ADB">
        <w:tc>
          <w:tcPr>
            <w:tcW w:w="214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Conoscenza più che buona</w:t>
            </w:r>
          </w:p>
        </w:tc>
        <w:tc>
          <w:tcPr>
            <w:tcW w:w="233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Ha notevoli capacità di a. e s.</w:t>
            </w:r>
          </w:p>
        </w:tc>
      </w:tr>
      <w:tr w:rsidR="004C6A3C" w:rsidRPr="00B47D51" w:rsidTr="00F96ADB">
        <w:tc>
          <w:tcPr>
            <w:tcW w:w="214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:rsidR="004C6A3C" w:rsidRPr="00B47D51" w:rsidRDefault="004C6A3C" w:rsidP="00F96ADB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>Conoscenza ottima</w:t>
            </w:r>
          </w:p>
        </w:tc>
        <w:tc>
          <w:tcPr>
            <w:tcW w:w="2336" w:type="dxa"/>
          </w:tcPr>
          <w:p w:rsidR="004C6A3C" w:rsidRPr="00B47D51" w:rsidRDefault="004C6A3C" w:rsidP="004C6A3C">
            <w:pPr>
              <w:rPr>
                <w:rFonts w:ascii="Garamond" w:hAnsi="Garamond"/>
                <w:sz w:val="28"/>
                <w:szCs w:val="28"/>
              </w:rPr>
            </w:pPr>
            <w:r w:rsidRPr="00B47D51">
              <w:rPr>
                <w:rFonts w:ascii="Garamond" w:hAnsi="Garamond"/>
                <w:sz w:val="28"/>
                <w:szCs w:val="28"/>
              </w:rPr>
              <w:t xml:space="preserve">Ha eccellenti capacità di a. e s. </w:t>
            </w:r>
          </w:p>
        </w:tc>
      </w:tr>
    </w:tbl>
    <w:p w:rsidR="00F45FAB" w:rsidRPr="00B47D51" w:rsidRDefault="00F45FAB" w:rsidP="00F425D2">
      <w:pPr>
        <w:jc w:val="both"/>
        <w:rPr>
          <w:rFonts w:ascii="Garamond" w:hAnsi="Garamond"/>
          <w:sz w:val="28"/>
          <w:szCs w:val="28"/>
        </w:rPr>
      </w:pPr>
    </w:p>
    <w:sectPr w:rsidR="00F45FAB" w:rsidRPr="00B47D51" w:rsidSect="005252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8D3"/>
    <w:multiLevelType w:val="hybridMultilevel"/>
    <w:tmpl w:val="C2B2DE2A"/>
    <w:lvl w:ilvl="0" w:tplc="C82AB1C8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AD0"/>
    <w:multiLevelType w:val="hybridMultilevel"/>
    <w:tmpl w:val="2EA0F4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F95"/>
    <w:multiLevelType w:val="hybridMultilevel"/>
    <w:tmpl w:val="3918D342"/>
    <w:lvl w:ilvl="0" w:tplc="E282524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0B49"/>
    <w:multiLevelType w:val="multilevel"/>
    <w:tmpl w:val="3588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A0997"/>
    <w:multiLevelType w:val="multilevel"/>
    <w:tmpl w:val="3DDA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D2"/>
    <w:rsid w:val="00177A4E"/>
    <w:rsid w:val="001812E8"/>
    <w:rsid w:val="002B6072"/>
    <w:rsid w:val="002E2587"/>
    <w:rsid w:val="0031169F"/>
    <w:rsid w:val="00317F09"/>
    <w:rsid w:val="003C199D"/>
    <w:rsid w:val="0041194A"/>
    <w:rsid w:val="004C6A3C"/>
    <w:rsid w:val="005252AD"/>
    <w:rsid w:val="005C7F23"/>
    <w:rsid w:val="0070758E"/>
    <w:rsid w:val="007B0D35"/>
    <w:rsid w:val="0099000B"/>
    <w:rsid w:val="009D1285"/>
    <w:rsid w:val="00A464C7"/>
    <w:rsid w:val="00A50B4B"/>
    <w:rsid w:val="00AC46CA"/>
    <w:rsid w:val="00B47D51"/>
    <w:rsid w:val="00C3613C"/>
    <w:rsid w:val="00C85D24"/>
    <w:rsid w:val="00DF06CE"/>
    <w:rsid w:val="00EF54A4"/>
    <w:rsid w:val="00F2271B"/>
    <w:rsid w:val="00F425D2"/>
    <w:rsid w:val="00F45FAB"/>
    <w:rsid w:val="00F72687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5E9AE"/>
  <w15:docId w15:val="{E265EAC9-961C-49F8-A0CA-CAEE2651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25D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25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porciello@hotmail.com" TargetMode="External"/><Relationship Id="rId5" Type="http://schemas.openxmlformats.org/officeDocument/2006/relationships/hyperlink" Target="mailto:andreaporciell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magna graecia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porciello</dc:creator>
  <cp:lastModifiedBy>Andrea Porciello</cp:lastModifiedBy>
  <cp:revision>4</cp:revision>
  <cp:lastPrinted>2017-02-14T15:33:00Z</cp:lastPrinted>
  <dcterms:created xsi:type="dcterms:W3CDTF">2018-10-14T14:07:00Z</dcterms:created>
  <dcterms:modified xsi:type="dcterms:W3CDTF">2020-07-27T16:43:00Z</dcterms:modified>
</cp:coreProperties>
</file>