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413" w:rsidRPr="00E25EBB" w:rsidRDefault="00E70413" w:rsidP="00E70413">
      <w:pPr>
        <w:jc w:val="center"/>
        <w:rPr>
          <w:rFonts w:ascii="Calibri" w:hAnsi="Calibri" w:cs="Calibri"/>
        </w:rPr>
      </w:pPr>
      <w:r w:rsidRPr="00E25EBB">
        <w:rPr>
          <w:rFonts w:ascii="Calibri" w:hAnsi="Calibri" w:cs="Calibri"/>
        </w:rPr>
        <w:t xml:space="preserve">Corso di laurea </w:t>
      </w:r>
      <w:r>
        <w:rPr>
          <w:rFonts w:ascii="Calibri" w:hAnsi="Calibri" w:cs="Calibri"/>
        </w:rPr>
        <w:t>magistrale</w:t>
      </w:r>
    </w:p>
    <w:p w:rsidR="00E70413" w:rsidRPr="00E25EBB" w:rsidRDefault="00E70413" w:rsidP="00E70413">
      <w:pPr>
        <w:jc w:val="center"/>
        <w:rPr>
          <w:rFonts w:ascii="Calibri" w:hAnsi="Calibri" w:cs="Calibri"/>
        </w:rPr>
      </w:pPr>
      <w:r w:rsidRPr="00E25EBB">
        <w:rPr>
          <w:rFonts w:ascii="Calibri" w:hAnsi="Calibri" w:cs="Calibri"/>
        </w:rPr>
        <w:t xml:space="preserve">in </w:t>
      </w:r>
      <w:r>
        <w:rPr>
          <w:rFonts w:ascii="Calibri" w:hAnsi="Calibri" w:cs="Calibri"/>
          <w:b/>
          <w:bCs/>
        </w:rPr>
        <w:t>Giurisprudenza</w:t>
      </w:r>
    </w:p>
    <w:p w:rsidR="00E70413" w:rsidRPr="00E25EBB" w:rsidRDefault="00E70413" w:rsidP="00E70413">
      <w:pPr>
        <w:jc w:val="center"/>
        <w:rPr>
          <w:rFonts w:ascii="Calibri" w:hAnsi="Calibri" w:cs="Calibri"/>
        </w:rPr>
      </w:pPr>
      <w:r w:rsidRPr="00E25EBB">
        <w:rPr>
          <w:rFonts w:ascii="Calibri" w:hAnsi="Calibri" w:cs="Calibri"/>
        </w:rPr>
        <w:t>Denominazione insegnamento</w:t>
      </w:r>
    </w:p>
    <w:p w:rsidR="00E70413" w:rsidRPr="00E25EBB" w:rsidRDefault="00E70413" w:rsidP="00E70413">
      <w:pPr>
        <w:jc w:val="center"/>
        <w:rPr>
          <w:rFonts w:ascii="Calibri" w:hAnsi="Calibri" w:cs="Calibri"/>
          <w:b/>
          <w:bCs/>
        </w:rPr>
      </w:pPr>
      <w:r w:rsidRPr="00E25EBB">
        <w:rPr>
          <w:rFonts w:ascii="Calibri" w:hAnsi="Calibri" w:cs="Calibri"/>
          <w:b/>
          <w:bCs/>
        </w:rPr>
        <w:t>Diritto del Mercato interno europeo</w:t>
      </w:r>
    </w:p>
    <w:p w:rsidR="00E70413" w:rsidRPr="00E25EBB" w:rsidRDefault="00E70413" w:rsidP="00E70413">
      <w:pPr>
        <w:pStyle w:val="NormaleWeb"/>
        <w:spacing w:before="0" w:beforeAutospacing="0" w:after="0" w:afterAutospacing="0"/>
        <w:jc w:val="center"/>
        <w:rPr>
          <w:rFonts w:ascii="Calibri" w:eastAsia="Bookman Old Style" w:hAnsi="Calibri" w:cs="Calibri"/>
          <w:b/>
          <w:bCs/>
        </w:rPr>
      </w:pPr>
      <w:r w:rsidRPr="00E25EBB">
        <w:rPr>
          <w:rFonts w:ascii="Calibri" w:eastAsia="Bookman Old Style" w:hAnsi="Calibri" w:cs="Calibri"/>
          <w:b/>
          <w:bCs/>
        </w:rPr>
        <w:t xml:space="preserve">Anno Accademico 2020-2021, II Anno, 2° Semestre, </w:t>
      </w:r>
      <w:r>
        <w:rPr>
          <w:rFonts w:ascii="Calibri" w:eastAsia="Bookman Old Style" w:hAnsi="Calibri" w:cs="Calibri"/>
          <w:b/>
          <w:bCs/>
        </w:rPr>
        <w:t>6</w:t>
      </w:r>
      <w:r w:rsidRPr="00E25EBB"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 w:rsidRPr="00E25EBB">
        <w:rPr>
          <w:rFonts w:ascii="Calibri" w:eastAsia="Bookman Old Style" w:hAnsi="Calibri" w:cs="Calibri"/>
          <w:b/>
          <w:bCs/>
        </w:rPr>
        <w:t>Cfu</w:t>
      </w:r>
      <w:proofErr w:type="spellEnd"/>
    </w:p>
    <w:p w:rsidR="00E70413" w:rsidRPr="00E25EBB" w:rsidRDefault="00E70413" w:rsidP="00E70413">
      <w:pPr>
        <w:pStyle w:val="NormaleWeb"/>
        <w:spacing w:before="0" w:beforeAutospacing="0" w:after="0" w:afterAutospacing="0"/>
        <w:jc w:val="center"/>
        <w:rPr>
          <w:rFonts w:ascii="Calibri" w:hAnsi="Calibri" w:cs="Calibri"/>
        </w:rPr>
      </w:pPr>
      <w:r w:rsidRPr="00E25EBB">
        <w:rPr>
          <w:rFonts w:ascii="Calibri" w:hAnsi="Calibri" w:cs="Calibri"/>
        </w:rPr>
        <w:t>Docente</w:t>
      </w:r>
    </w:p>
    <w:p w:rsidR="00E70413" w:rsidRPr="00E25EBB" w:rsidRDefault="00E70413" w:rsidP="00E70413">
      <w:pPr>
        <w:jc w:val="center"/>
        <w:rPr>
          <w:rFonts w:ascii="Calibri" w:hAnsi="Calibri" w:cs="Calibri"/>
          <w:b/>
        </w:rPr>
      </w:pPr>
      <w:r w:rsidRPr="00E25EBB">
        <w:rPr>
          <w:rFonts w:ascii="Calibri" w:hAnsi="Calibri" w:cs="Calibri"/>
          <w:b/>
        </w:rPr>
        <w:t>Prof. Paola MORI</w:t>
      </w:r>
    </w:p>
    <w:p w:rsidR="00E70413" w:rsidRPr="00E25EBB" w:rsidRDefault="00E70413" w:rsidP="00E70413">
      <w:pPr>
        <w:jc w:val="both"/>
        <w:rPr>
          <w:rFonts w:ascii="Calibri" w:hAnsi="Calibri" w:cs="Calibri"/>
        </w:rPr>
      </w:pPr>
    </w:p>
    <w:tbl>
      <w:tblPr>
        <w:tblW w:w="1118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8458"/>
      </w:tblGrid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t>Informazioni Corso</w:t>
            </w:r>
          </w:p>
        </w:tc>
        <w:tc>
          <w:tcPr>
            <w:tcW w:w="8458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Diritto del mercato interno europeo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>(</w:t>
            </w:r>
            <w:r w:rsidRPr="00E25EBB">
              <w:rPr>
                <w:rFonts w:ascii="Calibri" w:hAnsi="Calibri" w:cs="Calibri"/>
                <w:u w:val="single"/>
              </w:rPr>
              <w:t>settore scientifico-</w:t>
            </w:r>
            <w:proofErr w:type="gramStart"/>
            <w:r w:rsidRPr="00E25EBB">
              <w:rPr>
                <w:rFonts w:ascii="Calibri" w:hAnsi="Calibri" w:cs="Calibri"/>
                <w:u w:val="single"/>
              </w:rPr>
              <w:t>disciplinare</w:t>
            </w:r>
            <w:r w:rsidRPr="00E25EBB">
              <w:rPr>
                <w:rFonts w:ascii="Calibri" w:hAnsi="Calibri" w:cs="Calibri"/>
              </w:rPr>
              <w:t xml:space="preserve">:   </w:t>
            </w:r>
            <w:proofErr w:type="gramEnd"/>
            <w:r w:rsidRPr="00E25EBB">
              <w:rPr>
                <w:rFonts w:ascii="Calibri" w:hAnsi="Calibri" w:cs="Calibri"/>
              </w:rPr>
              <w:t xml:space="preserve"> IUS/14 Diritto dell’Unione europea  )</w:t>
            </w:r>
          </w:p>
        </w:tc>
      </w:tr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pStyle w:val="Corpodeltesto20"/>
              <w:shd w:val="clear" w:color="auto" w:fill="auto"/>
              <w:spacing w:line="220" w:lineRule="exact"/>
              <w:jc w:val="both"/>
              <w:rPr>
                <w:rFonts w:ascii="Calibri" w:eastAsia="Bookman Old Style" w:hAnsi="Calibri" w:cs="Calibri"/>
                <w:b/>
                <w:bCs/>
                <w:color w:val="000000"/>
                <w:shd w:val="clear" w:color="auto" w:fill="FFFFFF"/>
                <w:lang w:bidi="it-IT"/>
              </w:rPr>
            </w:pPr>
            <w:r w:rsidRPr="00E25EBB">
              <w:rPr>
                <w:rStyle w:val="Corpodeltesto2BookmanOldStyle11ptGrassetto"/>
                <w:rFonts w:ascii="Calibri" w:hAnsi="Calibri" w:cs="Calibri"/>
              </w:rPr>
              <w:t>Informazioni Docente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E70413" w:rsidRPr="00E25EBB" w:rsidRDefault="00E70413" w:rsidP="00F234FD">
            <w:pPr>
              <w:pStyle w:val="Corpodeltesto20"/>
              <w:shd w:val="clear" w:color="auto" w:fill="auto"/>
              <w:jc w:val="both"/>
              <w:rPr>
                <w:rFonts w:ascii="Calibri" w:hAnsi="Calibri" w:cs="Calibri"/>
              </w:rPr>
            </w:pPr>
          </w:p>
          <w:p w:rsidR="00E70413" w:rsidRPr="00E25EBB" w:rsidRDefault="00E70413" w:rsidP="00F234FD">
            <w:pPr>
              <w:pStyle w:val="Corpodeltesto20"/>
              <w:shd w:val="clear" w:color="auto" w:fill="auto"/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>Prof. Paola MORI</w:t>
            </w:r>
          </w:p>
          <w:p w:rsidR="00E70413" w:rsidRPr="00E25EBB" w:rsidRDefault="00E70413" w:rsidP="00F234FD">
            <w:pPr>
              <w:pStyle w:val="NormaleWeb"/>
              <w:jc w:val="both"/>
              <w:rPr>
                <w:rFonts w:ascii="Calibri" w:eastAsia="Bookman Old Style" w:hAnsi="Calibri" w:cs="Calibri"/>
              </w:rPr>
            </w:pPr>
            <w:r w:rsidRPr="00E25EBB">
              <w:rPr>
                <w:rFonts w:ascii="Calibri" w:eastAsia="Bookman Old Style" w:hAnsi="Calibri" w:cs="Calibri"/>
              </w:rPr>
              <w:t>Professore ordinario di Diritto dell’Unione europea presso il Dipartimento di Giurisprudenza, Economia e Sociologia dell’</w:t>
            </w:r>
            <w:proofErr w:type="spellStart"/>
            <w:r w:rsidRPr="00E25EBB">
              <w:rPr>
                <w:rFonts w:ascii="Calibri" w:eastAsia="Bookman Old Style" w:hAnsi="Calibri" w:cs="Calibri"/>
              </w:rPr>
              <w:t>Universita</w:t>
            </w:r>
            <w:proofErr w:type="spellEnd"/>
            <w:r w:rsidRPr="00E25EBB">
              <w:rPr>
                <w:rFonts w:ascii="Calibri" w:eastAsia="Bookman Old Style" w:hAnsi="Calibri" w:cs="Calibri"/>
              </w:rPr>
              <w:t xml:space="preserve">̀ degli studi “Magna </w:t>
            </w:r>
            <w:proofErr w:type="spellStart"/>
            <w:r w:rsidRPr="00E25EBB">
              <w:rPr>
                <w:rFonts w:ascii="Calibri" w:eastAsia="Bookman Old Style" w:hAnsi="Calibri" w:cs="Calibri"/>
              </w:rPr>
              <w:t>Græcia</w:t>
            </w:r>
            <w:proofErr w:type="spellEnd"/>
            <w:r w:rsidRPr="00E25EBB">
              <w:rPr>
                <w:rFonts w:ascii="Calibri" w:eastAsia="Bookman Old Style" w:hAnsi="Calibri" w:cs="Calibri"/>
              </w:rPr>
              <w:t>” di Catanzaro</w:t>
            </w:r>
          </w:p>
          <w:p w:rsidR="00E70413" w:rsidRPr="00E25EBB" w:rsidRDefault="00E70413" w:rsidP="00F234FD">
            <w:pPr>
              <w:pStyle w:val="NormaleWeb"/>
              <w:jc w:val="both"/>
              <w:rPr>
                <w:rFonts w:ascii="Calibri" w:eastAsia="Bookman Old Style" w:hAnsi="Calibri" w:cs="Calibri"/>
              </w:rPr>
            </w:pPr>
            <w:r w:rsidRPr="00E25EBB">
              <w:rPr>
                <w:rFonts w:ascii="Calibri" w:eastAsia="Bookman Old Style" w:hAnsi="Calibri" w:cs="Calibri"/>
              </w:rPr>
              <w:br/>
            </w:r>
            <w:r w:rsidRPr="00E25EBB">
              <w:rPr>
                <w:rFonts w:ascii="Calibri" w:eastAsia="Bookman Old Style" w:hAnsi="Calibri" w:cs="Calibri"/>
                <w:u w:val="single"/>
              </w:rPr>
              <w:t>Indirizzo e-mail</w:t>
            </w:r>
            <w:r w:rsidRPr="00E25EBB">
              <w:rPr>
                <w:rFonts w:ascii="Calibri" w:eastAsia="Bookman Old Style" w:hAnsi="Calibri" w:cs="Calibri"/>
              </w:rPr>
              <w:t xml:space="preserve">: </w:t>
            </w:r>
            <w:hyperlink r:id="rId6" w:history="1">
              <w:r w:rsidRPr="00E25EBB">
                <w:rPr>
                  <w:rStyle w:val="Collegamentoipertestuale"/>
                  <w:rFonts w:ascii="Calibri" w:eastAsia="Bookman Old Style" w:hAnsi="Calibri" w:cs="Calibri"/>
                </w:rPr>
                <w:t>paolamori@unicz.it</w:t>
              </w:r>
            </w:hyperlink>
          </w:p>
          <w:p w:rsidR="00E70413" w:rsidRPr="00E25EBB" w:rsidRDefault="00E70413" w:rsidP="00F234FD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Bookman Old Style" w:hAnsi="Calibri" w:cs="Calibri"/>
              </w:rPr>
            </w:pPr>
            <w:r w:rsidRPr="00E25EBB">
              <w:rPr>
                <w:rFonts w:ascii="Calibri" w:eastAsia="Bookman Old Style" w:hAnsi="Calibri" w:cs="Calibri"/>
              </w:rPr>
              <w:br/>
            </w:r>
            <w:r w:rsidRPr="00E25EBB">
              <w:rPr>
                <w:rFonts w:ascii="Calibri" w:eastAsia="Bookman Old Style" w:hAnsi="Calibri" w:cs="Calibri"/>
                <w:u w:val="single"/>
              </w:rPr>
              <w:t>Ricevimento</w:t>
            </w:r>
            <w:r w:rsidRPr="00E25EBB">
              <w:rPr>
                <w:rFonts w:ascii="Calibri" w:eastAsia="Bookman Old Style" w:hAnsi="Calibri" w:cs="Calibri"/>
              </w:rPr>
              <w:t xml:space="preserve">: I calendari delle date e degli orari di ricevimento degli studenti sono periodicamente pubblicati nel sito </w:t>
            </w:r>
            <w:r w:rsidRPr="00E25EBB">
              <w:rPr>
                <w:rFonts w:ascii="Calibri" w:hAnsi="Calibri" w:cs="Calibri"/>
              </w:rPr>
              <w:t xml:space="preserve">internet </w:t>
            </w:r>
            <w:r w:rsidRPr="00E25EBB">
              <w:rPr>
                <w:rFonts w:ascii="Calibri" w:eastAsia="Bookman Old Style" w:hAnsi="Calibri" w:cs="Calibri"/>
              </w:rPr>
              <w:t>del Dipartimento di Giurisprudenza, Economia e Sociologia, all’interno della pagina personale del docente e/o della sezione riservata agli avvisi per gli studenti. La docente riceve, inoltre, prima e dopo le lezioni e gli esami. Potranno comunque essere stabiliti ulteriori ricevimenti in altre date previa appuntamento da concordare con la docente via posta elettronica.</w:t>
            </w:r>
          </w:p>
          <w:p w:rsidR="00E70413" w:rsidRPr="00E25EBB" w:rsidRDefault="00E70413" w:rsidP="00F234FD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Bookman Old Style" w:hAnsi="Calibri" w:cs="Calibri"/>
              </w:rPr>
            </w:pPr>
            <w:r w:rsidRPr="00E25EBB">
              <w:rPr>
                <w:rFonts w:ascii="Calibri" w:eastAsia="Bookman Old Style" w:hAnsi="Calibri" w:cs="Calibri"/>
              </w:rPr>
              <w:t xml:space="preserve">La docente riceve presso lo studio n. 6 (piano terra, livello 0) dell’Edificio dell’Area Giuridica, Economica e delle Scienze Sociali del Campus universitario “Salvatore Venuta” di Germaneto. </w:t>
            </w:r>
          </w:p>
          <w:p w:rsidR="00E70413" w:rsidRPr="00E25EBB" w:rsidRDefault="00E70413" w:rsidP="00F234FD">
            <w:pPr>
              <w:pStyle w:val="Corpodeltesto20"/>
              <w:shd w:val="clear" w:color="auto" w:fill="auto"/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pStyle w:val="Corpodeltesto20"/>
              <w:shd w:val="clear" w:color="auto" w:fill="auto"/>
              <w:spacing w:line="220" w:lineRule="exact"/>
              <w:jc w:val="both"/>
              <w:rPr>
                <w:rFonts w:ascii="Calibri" w:hAnsi="Calibri" w:cs="Calibri"/>
              </w:rPr>
            </w:pPr>
            <w:r w:rsidRPr="00E25EBB">
              <w:rPr>
                <w:rStyle w:val="Corpodeltesto2BookmanOldStyle11ptGrassetto"/>
                <w:rFonts w:ascii="Calibri" w:hAnsi="Calibri" w:cs="Calibri"/>
              </w:rPr>
              <w:t>Descrizione del Corso</w:t>
            </w:r>
          </w:p>
        </w:tc>
        <w:tc>
          <w:tcPr>
            <w:tcW w:w="8458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color w:val="000000"/>
              </w:rPr>
            </w:pPr>
            <w:r w:rsidRPr="00E25EBB">
              <w:rPr>
                <w:rFonts w:ascii="Calibri" w:hAnsi="Calibri" w:cs="Calibri"/>
                <w:color w:val="000000"/>
              </w:rPr>
              <w:t>Il corso avrà ad oggetto l’analisi delle regole di funzionamento del mercato interno dell’Unione europea, con particolare riferimento alle quattro libertà fondamentali e al diritto della concorrenza nonché alla politica economica e monetaria.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rPr>
          <w:trHeight w:val="1520"/>
        </w:trPr>
        <w:tc>
          <w:tcPr>
            <w:tcW w:w="2727" w:type="dxa"/>
            <w:shd w:val="clear" w:color="auto" w:fill="auto"/>
            <w:vAlign w:val="bottom"/>
          </w:tcPr>
          <w:p w:rsidR="00E70413" w:rsidRPr="00E25EBB" w:rsidRDefault="00E70413" w:rsidP="00F234FD">
            <w:pPr>
              <w:pStyle w:val="Corpodeltesto20"/>
              <w:shd w:val="clear" w:color="auto" w:fill="auto"/>
              <w:jc w:val="both"/>
              <w:rPr>
                <w:rStyle w:val="Corpodeltesto2BookmanOldStyle11ptGrassetto"/>
                <w:rFonts w:ascii="Calibri" w:hAnsi="Calibri" w:cs="Calibri"/>
              </w:rPr>
            </w:pPr>
            <w:r w:rsidRPr="00E25EBB">
              <w:rPr>
                <w:rStyle w:val="Corpodeltesto2BookmanOldStyle11ptGrassetto"/>
                <w:rFonts w:ascii="Calibri" w:hAnsi="Calibri" w:cs="Calibri"/>
              </w:rPr>
              <w:t>Obiettivi del Corso e Risultati di Apprendimento attesi</w:t>
            </w:r>
          </w:p>
          <w:p w:rsidR="00E70413" w:rsidRPr="00E25EBB" w:rsidRDefault="00E70413" w:rsidP="00F234FD">
            <w:pPr>
              <w:pStyle w:val="Corpodeltesto20"/>
              <w:shd w:val="clear" w:color="auto" w:fill="auto"/>
              <w:jc w:val="both"/>
              <w:rPr>
                <w:rFonts w:ascii="Calibri" w:eastAsia="Bookman Old Style" w:hAnsi="Calibri" w:cs="Calibri"/>
                <w:b/>
                <w:bCs/>
                <w:color w:val="000000"/>
                <w:shd w:val="clear" w:color="auto" w:fill="FFFFFF"/>
                <w:lang w:bidi="it-IT"/>
              </w:rPr>
            </w:pPr>
            <w:r w:rsidRPr="00E25EBB">
              <w:rPr>
                <w:rStyle w:val="Corpodeltesto2BookmanOldStyle11ptGrassetto"/>
                <w:rFonts w:ascii="Calibri" w:hAnsi="Calibri" w:cs="Calibri"/>
              </w:rPr>
              <w:t>(in specie: conoscenza e capacità di comprensione; conoscenza e capacità di comprensione applicate; autonomia di giudizio; abilità comunicative; capacità di apprendimento)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E70413" w:rsidRPr="00E25EBB" w:rsidRDefault="00E70413" w:rsidP="00F234FD">
            <w:pPr>
              <w:jc w:val="both"/>
              <w:rPr>
                <w:rStyle w:val="Corpodeltesto2BookmanOldStyle11ptGrassetto"/>
                <w:rFonts w:ascii="Calibri" w:hAnsi="Calibri" w:cs="Calibri"/>
                <w:b w:val="0"/>
              </w:rPr>
            </w:pPr>
            <w:r w:rsidRPr="00E25EBB">
              <w:rPr>
                <w:rFonts w:ascii="Calibri" w:hAnsi="Calibri" w:cs="Calibri"/>
                <w:color w:val="000000"/>
                <w:u w:val="single"/>
              </w:rPr>
              <w:t>Obiettivo del corso</w:t>
            </w:r>
            <w:r w:rsidRPr="00E25EBB">
              <w:rPr>
                <w:rFonts w:ascii="Calibri" w:hAnsi="Calibri" w:cs="Calibri"/>
                <w:color w:val="000000"/>
              </w:rPr>
              <w:t xml:space="preserve"> è quello di approfondire i temi connessi alla regolamentazione del mercato unico europeo, con particolare riferimento alle disposizioni di diritto primario e derivato relative alle quattro libertà economiche fondamentali e alla tutela della concorrenza.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  <w:bCs/>
              </w:rPr>
            </w:pPr>
            <w:r w:rsidRPr="00E25EBB">
              <w:rPr>
                <w:rFonts w:ascii="Calibri" w:hAnsi="Calibri" w:cs="Calibri"/>
                <w:bCs/>
                <w:u w:val="single"/>
              </w:rPr>
              <w:t>Conoscenza e capacità di comprensione</w:t>
            </w:r>
            <w:r w:rsidRPr="00E25EBB">
              <w:rPr>
                <w:rFonts w:ascii="Calibri" w:hAnsi="Calibri" w:cs="Calibri"/>
                <w:bCs/>
              </w:rPr>
              <w:t>:</w:t>
            </w:r>
            <w:r w:rsidRPr="00E25EBB">
              <w:rPr>
                <w:rFonts w:ascii="Calibri" w:hAnsi="Calibri" w:cs="Calibri"/>
              </w:rPr>
              <w:t xml:space="preserve"> Lo studente conseguirà la capacità di elaborare</w:t>
            </w:r>
            <w:r>
              <w:rPr>
                <w:rFonts w:ascii="Calibri" w:hAnsi="Calibri" w:cs="Calibri"/>
              </w:rPr>
              <w:t>, eventualmente anche utilizzando testi in una delle altre lingue ufficiali dell’Unione europea,</w:t>
            </w:r>
            <w:r w:rsidRPr="00E25EBB">
              <w:rPr>
                <w:rFonts w:ascii="Calibri" w:hAnsi="Calibri" w:cs="Calibri"/>
              </w:rPr>
              <w:t xml:space="preserve"> le tematiche politiche, istituzionali ed economiche relative all’ordinamento dell’Unione europea in modo autonomo e originale.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  <w:bCs/>
                <w:u w:val="single"/>
              </w:rPr>
              <w:t>Conoscenza e capacità di comprensione applicate (ovvero, capacità di applicare conoscenza e comprensione)</w:t>
            </w:r>
            <w:r w:rsidRPr="00E25EBB">
              <w:rPr>
                <w:rFonts w:ascii="Calibri" w:hAnsi="Calibri" w:cs="Calibri"/>
                <w:bCs/>
              </w:rPr>
              <w:t xml:space="preserve">: </w:t>
            </w:r>
            <w:r w:rsidRPr="00E25EBB">
              <w:rPr>
                <w:rFonts w:ascii="Calibri" w:hAnsi="Calibri" w:cs="Calibri"/>
              </w:rPr>
              <w:t xml:space="preserve">Lo studente viene posto in grado di ricercare, analizzare testi giuridici e politico-istituzionali, eventualmente anche in una delle altre lingue ufficiali dell’UE, in modo tale da poter affrontare e risolvere le problematiche </w:t>
            </w:r>
            <w:r w:rsidRPr="00E25EBB">
              <w:rPr>
                <w:rFonts w:ascii="Calibri" w:hAnsi="Calibri" w:cs="Calibri"/>
              </w:rPr>
              <w:lastRenderedPageBreak/>
              <w:t xml:space="preserve">concrete che si presentano nell’applicazione del diritto dell’Unione europea nei vari contesti </w:t>
            </w:r>
            <w:r>
              <w:rPr>
                <w:rFonts w:ascii="Calibri" w:hAnsi="Calibri" w:cs="Calibri"/>
              </w:rPr>
              <w:t>istituzional</w:t>
            </w:r>
            <w:r w:rsidRPr="00E25EBB">
              <w:rPr>
                <w:rFonts w:ascii="Calibri" w:hAnsi="Calibri" w:cs="Calibri"/>
              </w:rPr>
              <w:t xml:space="preserve">i e </w:t>
            </w:r>
            <w:r>
              <w:rPr>
                <w:rFonts w:ascii="Calibri" w:hAnsi="Calibri" w:cs="Calibri"/>
              </w:rPr>
              <w:t>professionali.</w:t>
            </w:r>
            <w:r w:rsidRPr="00E25EBB">
              <w:rPr>
                <w:rFonts w:ascii="Calibri" w:hAnsi="Calibri" w:cs="Calibri"/>
              </w:rPr>
              <w:t xml:space="preserve"> 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  <w:u w:val="single"/>
              </w:rPr>
              <w:t>Autonomia di giudizio</w:t>
            </w:r>
            <w:r w:rsidRPr="00E25EBB">
              <w:rPr>
                <w:rFonts w:ascii="Calibri" w:hAnsi="Calibri" w:cs="Calibri"/>
              </w:rPr>
              <w:t xml:space="preserve">: Lo studente acquisirà le competenze critiche necessarie al raggiungimento di una piena maturità di analisi e di valutazione delle dinamiche </w:t>
            </w:r>
            <w:r>
              <w:rPr>
                <w:rFonts w:ascii="Calibri" w:hAnsi="Calibri" w:cs="Calibri"/>
              </w:rPr>
              <w:t>economiche</w:t>
            </w:r>
            <w:r w:rsidRPr="00E25EB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 giuridiche</w:t>
            </w:r>
            <w:r w:rsidRPr="00E25EBB">
              <w:rPr>
                <w:rFonts w:ascii="Calibri" w:hAnsi="Calibri" w:cs="Calibri"/>
              </w:rPr>
              <w:t xml:space="preserve"> dell’Unione europea e la capacità di affrontare le questioni sottoposte individuandone le soluzioni giuridiche </w:t>
            </w:r>
            <w:proofErr w:type="spellStart"/>
            <w:r w:rsidRPr="00E25EBB">
              <w:rPr>
                <w:rFonts w:ascii="Calibri" w:hAnsi="Calibri" w:cs="Calibri"/>
              </w:rPr>
              <w:t>piu</w:t>
            </w:r>
            <w:proofErr w:type="spellEnd"/>
            <w:r w:rsidRPr="00E25EBB">
              <w:rPr>
                <w:rFonts w:ascii="Calibri" w:hAnsi="Calibri" w:cs="Calibri"/>
              </w:rPr>
              <w:t xml:space="preserve">̀ corrette per l’adeguamento al diritto dell’Unione europea </w:t>
            </w:r>
            <w:r>
              <w:rPr>
                <w:rFonts w:ascii="Calibri" w:hAnsi="Calibri" w:cs="Calibri"/>
              </w:rPr>
              <w:t>in ambiti istituzionali e professionali</w:t>
            </w:r>
            <w:r w:rsidRPr="00E25EBB">
              <w:rPr>
                <w:rFonts w:ascii="Calibri" w:hAnsi="Calibri" w:cs="Calibri"/>
              </w:rPr>
              <w:t xml:space="preserve">. 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  <w:bCs/>
              </w:rPr>
            </w:pPr>
            <w:r w:rsidRPr="00E25EBB">
              <w:rPr>
                <w:rFonts w:ascii="Calibri" w:hAnsi="Calibri" w:cs="Calibri"/>
                <w:bCs/>
                <w:u w:val="single"/>
              </w:rPr>
              <w:t>Abilità comunicative</w:t>
            </w:r>
            <w:r w:rsidRPr="00E25EBB">
              <w:rPr>
                <w:rFonts w:ascii="Calibri" w:hAnsi="Calibri" w:cs="Calibri"/>
                <w:bCs/>
              </w:rPr>
              <w:t>:</w:t>
            </w:r>
            <w:r w:rsidRPr="00E25EBB">
              <w:rPr>
                <w:rFonts w:ascii="Calibri" w:hAnsi="Calibri" w:cs="Calibri"/>
              </w:rPr>
              <w:t xml:space="preserve"> Capacità di trasmettere ai propri interlocutori le conoscenze acquisite nel settore del diritto dell’Unione europea.</w:t>
            </w:r>
          </w:p>
          <w:p w:rsidR="00E70413" w:rsidRPr="00E25EBB" w:rsidRDefault="00E70413" w:rsidP="00F234FD">
            <w:pPr>
              <w:jc w:val="both"/>
              <w:rPr>
                <w:rFonts w:ascii="Calibri" w:eastAsia="Bookman Old Style" w:hAnsi="Calibri" w:cs="Calibri"/>
                <w:bCs/>
                <w:color w:val="000000"/>
                <w:shd w:val="clear" w:color="auto" w:fill="FFFFFF"/>
                <w:lang w:bidi="it-IT"/>
              </w:rPr>
            </w:pPr>
            <w:r w:rsidRPr="00E25EBB">
              <w:rPr>
                <w:rFonts w:ascii="Calibri" w:hAnsi="Calibri" w:cs="Calibri"/>
                <w:bCs/>
                <w:u w:val="single"/>
              </w:rPr>
              <w:t>Capacità di apprendimento</w:t>
            </w:r>
            <w:r w:rsidRPr="00E25EBB">
              <w:rPr>
                <w:rFonts w:ascii="Calibri" w:hAnsi="Calibri" w:cs="Calibri"/>
                <w:bCs/>
              </w:rPr>
              <w:t xml:space="preserve">: </w:t>
            </w:r>
            <w:r w:rsidRPr="00E25EBB">
              <w:rPr>
                <w:rFonts w:ascii="Calibri" w:hAnsi="Calibri" w:cs="Calibri"/>
              </w:rPr>
              <w:t>Acquisizione della capacità di ricerca e di analisi della documentazione delle istituzioni politiche, economiche e giu</w:t>
            </w:r>
            <w:r>
              <w:rPr>
                <w:rFonts w:ascii="Calibri" w:hAnsi="Calibri" w:cs="Calibri"/>
              </w:rPr>
              <w:t>diziarie</w:t>
            </w:r>
            <w:r w:rsidRPr="00E25EBB">
              <w:rPr>
                <w:rFonts w:ascii="Calibri" w:hAnsi="Calibri" w:cs="Calibri"/>
              </w:rPr>
              <w:t xml:space="preserve"> dell’Unione europea. </w:t>
            </w:r>
          </w:p>
        </w:tc>
      </w:tr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lastRenderedPageBreak/>
              <w:t>Programma (contenuti, modalità di svolgimento).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t>Eventuale distinzione programma frequentanti – non frequentanti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>Il mercato interno europeo: la libera circolazione delle merci; la politica agricola comune e della pesca; la libera circolazione delle persone, dei servizi e dei capitali. La politica comune dei trasporti.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>Concorrenza e aiuti di Stato. Le regole applicabili alle imprese: il divieto di accordi e pratiche concordate; l’abuso di posizione dominante. Il divieto di aiuti pubblici alle imprese e relative deroghe. Le disposizioni fiscali. Il ravvicinamento delle disposizioni legislative. Politica economica e monetaria. Occupazione e politiche sociali.</w:t>
            </w:r>
          </w:p>
          <w:p w:rsidR="00E70413" w:rsidRPr="00E25EBB" w:rsidRDefault="00E70413" w:rsidP="00F234FD">
            <w:pPr>
              <w:pStyle w:val="Corpodeltesto20"/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t>Stima dell’Impegno Orario richiesto per lo Studio individuale</w:t>
            </w:r>
          </w:p>
        </w:tc>
        <w:tc>
          <w:tcPr>
            <w:tcW w:w="8458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>ore didattica frontale = 3</w:t>
            </w:r>
            <w:r>
              <w:rPr>
                <w:rFonts w:ascii="Calibri" w:hAnsi="Calibri" w:cs="Calibri"/>
              </w:rPr>
              <w:t>0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 xml:space="preserve">ore studio individuale </w:t>
            </w:r>
            <w:proofErr w:type="gramStart"/>
            <w:r w:rsidRPr="00E25EBB">
              <w:rPr>
                <w:rFonts w:ascii="Calibri" w:hAnsi="Calibri" w:cs="Calibri"/>
              </w:rPr>
              <w:t xml:space="preserve">=  </w:t>
            </w:r>
            <w:r>
              <w:rPr>
                <w:rFonts w:ascii="Calibri" w:hAnsi="Calibri" w:cs="Calibri"/>
              </w:rPr>
              <w:t>99</w:t>
            </w:r>
            <w:proofErr w:type="gramEnd"/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 xml:space="preserve">ore attività integrative (seminari di approfondimento e casi pratici)= </w:t>
            </w:r>
            <w:r>
              <w:rPr>
                <w:rFonts w:ascii="Calibri" w:hAnsi="Calibri" w:cs="Calibri"/>
              </w:rPr>
              <w:t>21</w:t>
            </w:r>
          </w:p>
          <w:p w:rsidR="00E70413" w:rsidRPr="00E25EBB" w:rsidRDefault="00E70413" w:rsidP="00F234FD">
            <w:pPr>
              <w:ind w:left="708"/>
              <w:jc w:val="both"/>
              <w:rPr>
                <w:rFonts w:ascii="Calibri" w:hAnsi="Calibri" w:cs="Calibri"/>
                <w:b/>
              </w:rPr>
            </w:pP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t>Metodi di Insegnamento utilizzati</w:t>
            </w:r>
          </w:p>
        </w:tc>
        <w:tc>
          <w:tcPr>
            <w:tcW w:w="8458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 xml:space="preserve">Lezioni frontali, analisi di casi pratici relativi al diritto del mercato interno con partecipazione attiva degli studenti, analisi della pertinente giurisprudenza europea. 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t>Risorse per l’Apprendimento (libri di testo consigliati, eventuali ulteriori letture consigliate per approfondimento, altro materiale didattico)</w:t>
            </w:r>
          </w:p>
        </w:tc>
        <w:tc>
          <w:tcPr>
            <w:tcW w:w="8458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  <w:u w:val="single"/>
              </w:rPr>
              <w:t xml:space="preserve">Libri di testo </w:t>
            </w:r>
          </w:p>
          <w:p w:rsidR="00E70413" w:rsidRPr="002E0DEC" w:rsidRDefault="00E70413" w:rsidP="00F234FD">
            <w:pPr>
              <w:jc w:val="both"/>
              <w:rPr>
                <w:rFonts w:ascii="Calibri" w:hAnsi="Calibri" w:cs="Calibri"/>
                <w:bCs/>
              </w:rPr>
            </w:pPr>
            <w:r w:rsidRPr="00E25EBB">
              <w:rPr>
                <w:rFonts w:ascii="Calibri" w:hAnsi="Calibri" w:cs="Calibri"/>
                <w:b/>
                <w:smallCaps/>
              </w:rPr>
              <w:t xml:space="preserve">R. Adam, A. Tizzano, </w:t>
            </w:r>
            <w:r w:rsidRPr="002E0DEC">
              <w:rPr>
                <w:rFonts w:ascii="Calibri" w:hAnsi="Calibri" w:cs="Calibri"/>
                <w:b/>
                <w:i/>
                <w:smallCaps/>
                <w:u w:val="single"/>
              </w:rPr>
              <w:t xml:space="preserve">Manuale </w:t>
            </w:r>
            <w:r w:rsidRPr="00E25EBB">
              <w:rPr>
                <w:rFonts w:ascii="Calibri" w:hAnsi="Calibri" w:cs="Calibri"/>
                <w:b/>
                <w:i/>
                <w:smallCaps/>
              </w:rPr>
              <w:t>di Diritto dell’Unione europea</w:t>
            </w:r>
            <w:r w:rsidRPr="00E25EBB">
              <w:rPr>
                <w:rFonts w:ascii="Calibri" w:hAnsi="Calibri" w:cs="Calibri"/>
                <w:b/>
                <w:smallCaps/>
              </w:rPr>
              <w:t>, 20</w:t>
            </w:r>
            <w:r>
              <w:rPr>
                <w:rFonts w:ascii="Calibri" w:hAnsi="Calibri" w:cs="Calibri"/>
                <w:b/>
                <w:smallCaps/>
              </w:rPr>
              <w:t xml:space="preserve">20, </w:t>
            </w:r>
            <w:r w:rsidRPr="002E0DEC">
              <w:rPr>
                <w:rFonts w:ascii="Calibri" w:hAnsi="Calibri" w:cs="Calibri"/>
                <w:bCs/>
              </w:rPr>
              <w:t>di cui si dovranno studiare:</w:t>
            </w:r>
          </w:p>
          <w:p w:rsidR="00E70413" w:rsidRDefault="00E70413" w:rsidP="00F234FD">
            <w:pPr>
              <w:jc w:val="both"/>
              <w:rPr>
                <w:rFonts w:ascii="Calibri" w:hAnsi="Calibri" w:cs="Calibri"/>
                <w:bCs/>
                <w:smallCaps/>
              </w:rPr>
            </w:pPr>
            <w:r>
              <w:rPr>
                <w:rFonts w:ascii="Calibri" w:hAnsi="Calibri" w:cs="Calibri"/>
                <w:bCs/>
                <w:smallCaps/>
              </w:rPr>
              <w:t xml:space="preserve">-Parte terza: capitoli I, </w:t>
            </w:r>
            <w:proofErr w:type="gramStart"/>
            <w:r>
              <w:rPr>
                <w:rFonts w:ascii="Calibri" w:hAnsi="Calibri" w:cs="Calibri"/>
                <w:bCs/>
                <w:smallCaps/>
              </w:rPr>
              <w:t>II,III</w:t>
            </w:r>
            <w:proofErr w:type="gramEnd"/>
          </w:p>
          <w:p w:rsidR="00E70413" w:rsidRPr="002E0DEC" w:rsidRDefault="00E70413" w:rsidP="00F234FD">
            <w:pPr>
              <w:jc w:val="both"/>
              <w:rPr>
                <w:rFonts w:ascii="Calibri" w:hAnsi="Calibri" w:cs="Calibri"/>
                <w:bCs/>
                <w:smallCaps/>
              </w:rPr>
            </w:pPr>
            <w:r w:rsidRPr="002E0DEC">
              <w:rPr>
                <w:rFonts w:ascii="Calibri" w:hAnsi="Calibri" w:cs="Calibri"/>
                <w:bCs/>
                <w:smallCaps/>
              </w:rPr>
              <w:t xml:space="preserve">-Parte quarta: tutta  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  <w:smallCaps/>
              </w:rPr>
            </w:pP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 xml:space="preserve">Ai fini della preparazione dell’esame è richiesta la </w:t>
            </w:r>
            <w:r w:rsidRPr="00E25EBB">
              <w:rPr>
                <w:rFonts w:ascii="Calibri" w:hAnsi="Calibri" w:cs="Calibri"/>
                <w:b/>
              </w:rPr>
              <w:t>consultazione dei testi del Trattato UE e del Trattato FUE</w:t>
            </w:r>
            <w:r w:rsidRPr="00E25EBB">
              <w:rPr>
                <w:rFonts w:ascii="Calibri" w:hAnsi="Calibri" w:cs="Calibri"/>
              </w:rPr>
              <w:t xml:space="preserve">, reperibili in internet sul sito http://eur-lex.europa.eu/it/treaties/index.htm o in un codice di diritto dell’Unione europea aggiornato (ad es. </w:t>
            </w:r>
            <w:r w:rsidRPr="00E25EBB">
              <w:rPr>
                <w:rFonts w:ascii="Calibri" w:hAnsi="Calibri" w:cs="Calibri"/>
                <w:smallCaps/>
              </w:rPr>
              <w:t>B. Nascimbene</w:t>
            </w:r>
            <w:r w:rsidRPr="00E25EBB">
              <w:rPr>
                <w:rFonts w:ascii="Calibri" w:hAnsi="Calibri" w:cs="Calibri"/>
              </w:rPr>
              <w:t xml:space="preserve">, </w:t>
            </w:r>
            <w:r w:rsidRPr="00E25EBB">
              <w:rPr>
                <w:rFonts w:ascii="Calibri" w:hAnsi="Calibri" w:cs="Calibri"/>
                <w:i/>
              </w:rPr>
              <w:t>Unione europea, Trattati</w:t>
            </w:r>
            <w:r w:rsidRPr="00E25EBB">
              <w:rPr>
                <w:rFonts w:ascii="Calibri" w:hAnsi="Calibri" w:cs="Calibri"/>
              </w:rPr>
              <w:t xml:space="preserve">. 4a ed., </w:t>
            </w:r>
            <w:proofErr w:type="spellStart"/>
            <w:r w:rsidRPr="00E25EBB">
              <w:rPr>
                <w:rFonts w:ascii="Calibri" w:hAnsi="Calibri" w:cs="Calibri"/>
              </w:rPr>
              <w:t>Giappichelli</w:t>
            </w:r>
            <w:proofErr w:type="spellEnd"/>
            <w:r w:rsidRPr="00E25EBB">
              <w:rPr>
                <w:rFonts w:ascii="Calibri" w:hAnsi="Calibri" w:cs="Calibri"/>
              </w:rPr>
              <w:t>, Torino, 2017).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  <w:bCs/>
              </w:rPr>
            </w:pPr>
            <w:r w:rsidRPr="00E25EBB">
              <w:rPr>
                <w:rFonts w:ascii="Calibri" w:hAnsi="Calibri" w:cs="Calibri"/>
                <w:bCs/>
              </w:rPr>
              <w:t>Per gli studenti frequentanti il materiale didattico per il superamento della prova finale sarà fornito nel corso delle lezioni e potrà essere in lingua inglese.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  <w:p w:rsidR="00E70413" w:rsidRPr="00E25EBB" w:rsidRDefault="00E70413" w:rsidP="00F234FD">
            <w:pPr>
              <w:ind w:left="708"/>
              <w:jc w:val="both"/>
              <w:rPr>
                <w:rFonts w:ascii="Calibri" w:hAnsi="Calibri" w:cs="Calibri"/>
              </w:rPr>
            </w:pP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  <w:u w:val="single"/>
              </w:rPr>
            </w:pPr>
            <w:r w:rsidRPr="00E25EBB">
              <w:rPr>
                <w:rFonts w:ascii="Calibri" w:hAnsi="Calibri" w:cs="Calibri"/>
                <w:u w:val="single"/>
              </w:rPr>
              <w:t>Altro materiale didattico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>Materiali (normativi e di giurisprudenza) indicati nel corso delle lezioni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c>
          <w:tcPr>
            <w:tcW w:w="2727" w:type="dxa"/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lastRenderedPageBreak/>
              <w:t>Attività di Supporto</w:t>
            </w:r>
          </w:p>
        </w:tc>
        <w:tc>
          <w:tcPr>
            <w:tcW w:w="8458" w:type="dxa"/>
            <w:shd w:val="clear" w:color="auto" w:fill="auto"/>
          </w:tcPr>
          <w:p w:rsidR="00E70413" w:rsidRPr="00E25EBB" w:rsidRDefault="00E70413" w:rsidP="00F234FD">
            <w:pPr>
              <w:pStyle w:val="NormaleWeb"/>
              <w:shd w:val="clear" w:color="auto" w:fill="FFFFFF"/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>L’</w:t>
            </w:r>
            <w:proofErr w:type="spellStart"/>
            <w:r w:rsidRPr="00E25EBB">
              <w:rPr>
                <w:rFonts w:ascii="Calibri" w:hAnsi="Calibri" w:cs="Calibri"/>
              </w:rPr>
              <w:t>attivita</w:t>
            </w:r>
            <w:proofErr w:type="spellEnd"/>
            <w:r w:rsidRPr="00E25EBB">
              <w:rPr>
                <w:rFonts w:ascii="Calibri" w:hAnsi="Calibri" w:cs="Calibri"/>
              </w:rPr>
              <w:t xml:space="preserve">̀ di supporto è svolta dalla docente </w:t>
            </w:r>
            <w:r>
              <w:rPr>
                <w:rFonts w:ascii="Calibri" w:hAnsi="Calibri" w:cs="Calibri"/>
              </w:rPr>
              <w:t xml:space="preserve">e dai collaboratori di cattedra </w:t>
            </w:r>
            <w:r w:rsidRPr="00E25EBB">
              <w:rPr>
                <w:rFonts w:ascii="Calibri" w:hAnsi="Calibri" w:cs="Calibri"/>
              </w:rPr>
              <w:t xml:space="preserve">nell’ambito della didattica, anche integrativa e seminariale, eventualmente con il coinvolgimento di soggetti esterni, provenienti dal mondo del lavoro e delle professioni, di esperti e di cultori della materia, </w:t>
            </w:r>
            <w:proofErr w:type="spellStart"/>
            <w:r w:rsidRPr="00E25EBB">
              <w:rPr>
                <w:rFonts w:ascii="Calibri" w:hAnsi="Calibri" w:cs="Calibri"/>
              </w:rPr>
              <w:t>nonche</w:t>
            </w:r>
            <w:proofErr w:type="spellEnd"/>
            <w:r w:rsidRPr="00E25EBB">
              <w:rPr>
                <w:rFonts w:ascii="Calibri" w:hAnsi="Calibri" w:cs="Calibri"/>
              </w:rPr>
              <w:t xml:space="preserve">́ durante gli orari di ricevimento. </w:t>
            </w:r>
          </w:p>
          <w:p w:rsidR="00E70413" w:rsidRPr="00E25EBB" w:rsidRDefault="00E70413" w:rsidP="00F234FD">
            <w:pPr>
              <w:pStyle w:val="NormaleWeb"/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t>Modalità di Frequenza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13" w:rsidRPr="00E25EBB" w:rsidRDefault="00E70413" w:rsidP="00F234FD">
            <w:pPr>
              <w:pStyle w:val="NormaleWeb"/>
              <w:shd w:val="clear" w:color="auto" w:fill="FFFFFF"/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br/>
              <w:t xml:space="preserve">Il Corso non prevede, di norma, prove di valutazione intermedia. In ogni caso, la docente si riserva la </w:t>
            </w:r>
            <w:proofErr w:type="spellStart"/>
            <w:r w:rsidRPr="00E25EBB">
              <w:rPr>
                <w:rFonts w:ascii="Calibri" w:hAnsi="Calibri" w:cs="Calibri"/>
              </w:rPr>
              <w:t>facolta</w:t>
            </w:r>
            <w:proofErr w:type="spellEnd"/>
            <w:r w:rsidRPr="00E25EBB">
              <w:rPr>
                <w:rFonts w:ascii="Calibri" w:hAnsi="Calibri" w:cs="Calibri"/>
              </w:rPr>
              <w:t xml:space="preserve">̀ di procedere ad eventuali verifiche (scritte e orali) nel corso delle lezioni in considerazione del concreto andamento della didattica. 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 xml:space="preserve"> L’esame di profitto finale sarà svolto in forma orale.</w:t>
            </w:r>
          </w:p>
          <w:p w:rsidR="00E70413" w:rsidRPr="00E25EBB" w:rsidRDefault="00E70413" w:rsidP="00F234FD">
            <w:pPr>
              <w:pStyle w:val="NormaleWeb"/>
              <w:shd w:val="clear" w:color="auto" w:fill="FFFFFF"/>
              <w:jc w:val="both"/>
              <w:rPr>
                <w:rFonts w:ascii="Calibri" w:hAnsi="Calibri" w:cs="Calibri"/>
              </w:rPr>
            </w:pPr>
          </w:p>
          <w:p w:rsidR="00E70413" w:rsidRPr="00E25EBB" w:rsidRDefault="00E70413" w:rsidP="00F234FD">
            <w:pPr>
              <w:pStyle w:val="NormaleWeb"/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</w:tr>
      <w:tr w:rsidR="00E70413" w:rsidRPr="00E25EBB" w:rsidTr="00F234F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  <w:b/>
              </w:rPr>
            </w:pPr>
            <w:r w:rsidRPr="00E25EBB">
              <w:rPr>
                <w:rFonts w:ascii="Calibri" w:hAnsi="Calibri" w:cs="Calibri"/>
                <w:b/>
              </w:rPr>
              <w:t>Modalità di Accertamento (ovvero, di verifica dell’apprendimento)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  <w:r w:rsidRPr="00E25EBB">
              <w:rPr>
                <w:rFonts w:ascii="Calibri" w:hAnsi="Calibri" w:cs="Calibri"/>
              </w:rPr>
              <w:t xml:space="preserve">L’esame di profitto finale sarà svolto in forma </w:t>
            </w:r>
            <w:r w:rsidRPr="00E25EBB">
              <w:rPr>
                <w:rFonts w:ascii="Calibri" w:hAnsi="Calibri" w:cs="Calibri"/>
                <w:b/>
              </w:rPr>
              <w:t>orale</w:t>
            </w:r>
            <w:r w:rsidRPr="00E25EBB">
              <w:rPr>
                <w:rFonts w:ascii="Calibri" w:hAnsi="Calibri" w:cs="Calibri"/>
              </w:rPr>
              <w:t>.</w:t>
            </w:r>
          </w:p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22"/>
              <w:gridCol w:w="1911"/>
              <w:gridCol w:w="2073"/>
              <w:gridCol w:w="2087"/>
            </w:tblGrid>
            <w:tr w:rsidR="00E70413" w:rsidRPr="00E25EBB" w:rsidTr="00F234FD">
              <w:tc>
                <w:tcPr>
                  <w:tcW w:w="962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E25EBB">
                    <w:rPr>
                      <w:rFonts w:ascii="Calibri" w:hAnsi="Calibri" w:cs="Calibri"/>
                      <w:b/>
                    </w:rPr>
                    <w:t>Votazione</w:t>
                  </w:r>
                </w:p>
              </w:tc>
              <w:tc>
                <w:tcPr>
                  <w:tcW w:w="1911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E25EBB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Conoscenza e comprensione dell’argomento</w:t>
                  </w:r>
                </w:p>
              </w:tc>
              <w:tc>
                <w:tcPr>
                  <w:tcW w:w="2073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E25EBB">
                    <w:rPr>
                      <w:rFonts w:ascii="Calibri" w:hAnsi="Calibri" w:cs="Calibri"/>
                      <w:b/>
                      <w:bCs/>
                      <w:color w:val="000000"/>
                    </w:rPr>
                    <w:t>Capacità di analisi e di sintesi</w:t>
                  </w:r>
                </w:p>
              </w:tc>
              <w:tc>
                <w:tcPr>
                  <w:tcW w:w="2087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E25EBB">
                    <w:rPr>
                      <w:rFonts w:ascii="Calibri" w:hAnsi="Calibri" w:cs="Calibri"/>
                      <w:b/>
                      <w:bCs/>
                      <w:color w:val="000000"/>
                    </w:rPr>
                    <w:t>Utilizzo di riferimenti, in specie bibliografici</w:t>
                  </w:r>
                </w:p>
              </w:tc>
            </w:tr>
            <w:tr w:rsidR="00E70413" w:rsidRPr="00E25EBB" w:rsidTr="00F234FD">
              <w:tc>
                <w:tcPr>
                  <w:tcW w:w="962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Non idoneo</w:t>
                  </w:r>
                </w:p>
              </w:tc>
              <w:tc>
                <w:tcPr>
                  <w:tcW w:w="1911" w:type="dxa"/>
                </w:tcPr>
                <w:p w:rsidR="00E70413" w:rsidRPr="00E25EBB" w:rsidRDefault="00E70413" w:rsidP="00F234FD">
                  <w:pPr>
                    <w:ind w:left="139"/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 xml:space="preserve">Importanti carenze. Significative </w:t>
                  </w:r>
                  <w:proofErr w:type="spellStart"/>
                  <w:r w:rsidRPr="00E25EBB">
                    <w:rPr>
                      <w:rFonts w:ascii="Calibri" w:hAnsi="Calibri" w:cs="Calibri"/>
                    </w:rPr>
                    <w:t>inaccuratezze</w:t>
                  </w:r>
                  <w:proofErr w:type="spellEnd"/>
                </w:p>
              </w:tc>
              <w:tc>
                <w:tcPr>
                  <w:tcW w:w="2073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Completamente inappropriato</w:t>
                  </w:r>
                </w:p>
              </w:tc>
            </w:tr>
            <w:tr w:rsidR="00E70413" w:rsidRPr="00E25EBB" w:rsidTr="00F234FD">
              <w:tc>
                <w:tcPr>
                  <w:tcW w:w="962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18-20</w:t>
                  </w:r>
                </w:p>
              </w:tc>
              <w:tc>
                <w:tcPr>
                  <w:tcW w:w="1911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A livello soglia. Imperfezioni evidenti</w:t>
                  </w:r>
                </w:p>
              </w:tc>
              <w:tc>
                <w:tcPr>
                  <w:tcW w:w="2073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Capacità appena sufficienti</w:t>
                  </w:r>
                </w:p>
              </w:tc>
              <w:tc>
                <w:tcPr>
                  <w:tcW w:w="2087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Appena appropriato</w:t>
                  </w:r>
                </w:p>
              </w:tc>
            </w:tr>
            <w:tr w:rsidR="00E70413" w:rsidRPr="00E25EBB" w:rsidTr="00F234FD">
              <w:tc>
                <w:tcPr>
                  <w:tcW w:w="962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21-23</w:t>
                  </w:r>
                </w:p>
              </w:tc>
              <w:tc>
                <w:tcPr>
                  <w:tcW w:w="1911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Conoscenza routinaria</w:t>
                  </w:r>
                </w:p>
              </w:tc>
              <w:tc>
                <w:tcPr>
                  <w:tcW w:w="2073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proofErr w:type="gramStart"/>
                  <w:r w:rsidRPr="00E25EBB">
                    <w:rPr>
                      <w:rFonts w:ascii="Calibri" w:hAnsi="Calibri" w:cs="Calibri"/>
                    </w:rPr>
                    <w:t>E’</w:t>
                  </w:r>
                  <w:proofErr w:type="gramEnd"/>
                  <w:r w:rsidRPr="00E25EBB">
                    <w:rPr>
                      <w:rFonts w:ascii="Calibri" w:hAnsi="Calibri" w:cs="Calibri"/>
                    </w:rPr>
                    <w:t xml:space="preserve"> in grado di effettuare analisi e sintesi corrette. Argomenta in modo logico e coerente</w:t>
                  </w:r>
                </w:p>
              </w:tc>
              <w:tc>
                <w:tcPr>
                  <w:tcW w:w="2087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 xml:space="preserve">Utilizza i riferimenti </w:t>
                  </w:r>
                  <w:r w:rsidRPr="00E25EBB">
                    <w:rPr>
                      <w:rFonts w:ascii="Calibri" w:hAnsi="Calibri" w:cs="Calibri"/>
                      <w:i/>
                    </w:rPr>
                    <w:t>standard</w:t>
                  </w:r>
                </w:p>
              </w:tc>
            </w:tr>
            <w:tr w:rsidR="00E70413" w:rsidRPr="00E25EBB" w:rsidTr="00F234FD">
              <w:tc>
                <w:tcPr>
                  <w:tcW w:w="962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24-26</w:t>
                  </w:r>
                </w:p>
              </w:tc>
              <w:tc>
                <w:tcPr>
                  <w:tcW w:w="1911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Conoscenza buona</w:t>
                  </w:r>
                </w:p>
              </w:tc>
              <w:tc>
                <w:tcPr>
                  <w:tcW w:w="2073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Ha capacità di analisi e di sintesi buone. Gli argomenti sono espressi coerentemente</w:t>
                  </w:r>
                </w:p>
              </w:tc>
              <w:tc>
                <w:tcPr>
                  <w:tcW w:w="2087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 xml:space="preserve">Utilizza i riferimenti </w:t>
                  </w:r>
                  <w:r w:rsidRPr="00E25EBB">
                    <w:rPr>
                      <w:rFonts w:ascii="Calibri" w:hAnsi="Calibri" w:cs="Calibri"/>
                      <w:i/>
                    </w:rPr>
                    <w:t>standard</w:t>
                  </w:r>
                </w:p>
              </w:tc>
            </w:tr>
            <w:tr w:rsidR="00E70413" w:rsidRPr="00E25EBB" w:rsidTr="00F234FD">
              <w:tc>
                <w:tcPr>
                  <w:tcW w:w="962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27-29</w:t>
                  </w:r>
                </w:p>
              </w:tc>
              <w:tc>
                <w:tcPr>
                  <w:tcW w:w="1911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Conoscenza più che buona</w:t>
                  </w:r>
                </w:p>
              </w:tc>
              <w:tc>
                <w:tcPr>
                  <w:tcW w:w="2073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Ha notevoli capacità di analisi e di sintesi</w:t>
                  </w:r>
                </w:p>
              </w:tc>
              <w:tc>
                <w:tcPr>
                  <w:tcW w:w="2087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Ha approfondito gli argomenti</w:t>
                  </w:r>
                </w:p>
              </w:tc>
            </w:tr>
            <w:tr w:rsidR="00E70413" w:rsidRPr="00E25EBB" w:rsidTr="00F234FD">
              <w:tc>
                <w:tcPr>
                  <w:tcW w:w="962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30-30L</w:t>
                  </w:r>
                </w:p>
              </w:tc>
              <w:tc>
                <w:tcPr>
                  <w:tcW w:w="1911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Conoscenza ottima</w:t>
                  </w:r>
                </w:p>
              </w:tc>
              <w:tc>
                <w:tcPr>
                  <w:tcW w:w="2073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Ha ottime capacità di analisi e di sintesi</w:t>
                  </w:r>
                </w:p>
              </w:tc>
              <w:tc>
                <w:tcPr>
                  <w:tcW w:w="2087" w:type="dxa"/>
                </w:tcPr>
                <w:p w:rsidR="00E70413" w:rsidRPr="00E25EBB" w:rsidRDefault="00E70413" w:rsidP="00F234FD">
                  <w:pPr>
                    <w:jc w:val="both"/>
                    <w:rPr>
                      <w:rFonts w:ascii="Calibri" w:hAnsi="Calibri" w:cs="Calibri"/>
                    </w:rPr>
                  </w:pPr>
                  <w:r w:rsidRPr="00E25EBB">
                    <w:rPr>
                      <w:rFonts w:ascii="Calibri" w:hAnsi="Calibri" w:cs="Calibri"/>
                    </w:rPr>
                    <w:t>Importanti approfondimenti</w:t>
                  </w:r>
                </w:p>
              </w:tc>
            </w:tr>
          </w:tbl>
          <w:p w:rsidR="00E70413" w:rsidRPr="00E25EBB" w:rsidRDefault="00E70413" w:rsidP="00F234F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70413" w:rsidRPr="00E25EBB" w:rsidRDefault="00E70413" w:rsidP="00E70413">
      <w:pPr>
        <w:jc w:val="both"/>
        <w:rPr>
          <w:rFonts w:ascii="Calibri" w:hAnsi="Calibri" w:cs="Calibri"/>
        </w:rPr>
      </w:pPr>
    </w:p>
    <w:p w:rsidR="000A1083" w:rsidRDefault="000A1083"/>
    <w:sectPr w:rsidR="000A1083" w:rsidSect="00356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A9D" w:rsidRDefault="005D5A9D">
      <w:r>
        <w:separator/>
      </w:r>
    </w:p>
  </w:endnote>
  <w:endnote w:type="continuationSeparator" w:id="0">
    <w:p w:rsidR="005D5A9D" w:rsidRDefault="005D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CED" w:rsidRDefault="005D5A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CED" w:rsidRDefault="005D5A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CED" w:rsidRDefault="005D5A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A9D" w:rsidRDefault="005D5A9D">
      <w:r>
        <w:separator/>
      </w:r>
    </w:p>
  </w:footnote>
  <w:footnote w:type="continuationSeparator" w:id="0">
    <w:p w:rsidR="005D5A9D" w:rsidRDefault="005D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CED" w:rsidRDefault="005D5A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CED" w:rsidRDefault="005D5A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CED" w:rsidRDefault="005D5A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3"/>
    <w:rsid w:val="000A1083"/>
    <w:rsid w:val="005D5A9D"/>
    <w:rsid w:val="00BF4A87"/>
    <w:rsid w:val="00E70413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785DC"/>
  <w15:chartTrackingRefBased/>
  <w15:docId w15:val="{A528C05F-2BFC-3F40-A5B7-9CE6950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link w:val="Corpodeltesto20"/>
    <w:rsid w:val="00E70413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E70413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E70413"/>
    <w:pPr>
      <w:widowControl w:val="0"/>
      <w:shd w:val="clear" w:color="auto" w:fill="FFFFFF"/>
    </w:pPr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E7041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0413"/>
    <w:pPr>
      <w:tabs>
        <w:tab w:val="center" w:pos="4819"/>
        <w:tab w:val="right" w:pos="9638"/>
      </w:tabs>
    </w:pPr>
    <w:rPr>
      <w:rFonts w:ascii="Cambria" w:eastAsia="MS Mincho" w:hAnsi="Cambr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413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0413"/>
    <w:pPr>
      <w:tabs>
        <w:tab w:val="center" w:pos="4819"/>
        <w:tab w:val="right" w:pos="9638"/>
      </w:tabs>
    </w:pPr>
    <w:rPr>
      <w:rFonts w:ascii="Cambria" w:eastAsia="MS Mincho" w:hAnsi="Cambr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413"/>
    <w:rPr>
      <w:rFonts w:ascii="Cambria" w:eastAsia="MS Mincho" w:hAnsi="Cambria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E70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mori@unicz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Mori</dc:creator>
  <cp:keywords/>
  <dc:description/>
  <cp:lastModifiedBy>Paola Mori</cp:lastModifiedBy>
  <cp:revision>2</cp:revision>
  <dcterms:created xsi:type="dcterms:W3CDTF">2020-07-01T07:30:00Z</dcterms:created>
  <dcterms:modified xsi:type="dcterms:W3CDTF">2020-07-01T07:46:00Z</dcterms:modified>
</cp:coreProperties>
</file>